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6E4164">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390A33">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6E4164">
              <w:rPr>
                <w:kern w:val="0"/>
                <w:lang w:eastAsia="ru-RU"/>
              </w:rPr>
              <w:t>101</w:t>
            </w:r>
            <w:r w:rsidR="00390A33">
              <w:rPr>
                <w:kern w:val="0"/>
                <w:lang w:eastAsia="ru-RU"/>
              </w:rPr>
              <w:t>2</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3D20D3">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3D20D3" w:rsidRDefault="003D20D3" w:rsidP="003D20D3">
      <w:pPr>
        <w:spacing w:after="0"/>
        <w:jc w:val="center"/>
      </w:pPr>
    </w:p>
    <w:p w:rsidR="00EC7F91" w:rsidRDefault="00390A33" w:rsidP="003D20D3">
      <w:pPr>
        <w:autoSpaceDE w:val="0"/>
        <w:spacing w:after="0"/>
        <w:jc w:val="center"/>
      </w:pPr>
      <w:r>
        <w:t>г. Алексин, пл. Победы, д. 13</w:t>
      </w: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321FD0" w:rsidRDefault="00321FD0" w:rsidP="0091623E">
      <w:pPr>
        <w:autoSpaceDE w:val="0"/>
        <w:spacing w:after="0"/>
        <w:jc w:val="center"/>
      </w:pPr>
    </w:p>
    <w:p w:rsidR="003D20D3" w:rsidRDefault="003D20D3"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254BF0">
        <w:trP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254BF0">
        <w:trPr>
          <w:tblHeader/>
          <w:jc w:val="center"/>
        </w:trPr>
        <w:tc>
          <w:tcPr>
            <w:tcW w:w="1602" w:type="dxa"/>
            <w:shd w:val="clear" w:color="auto" w:fill="auto"/>
            <w:vAlign w:val="center"/>
          </w:tcPr>
          <w:p w:rsidR="00F22DB3" w:rsidRPr="00A76C1A" w:rsidRDefault="00F22DB3" w:rsidP="001C026D">
            <w:pPr>
              <w:spacing w:after="0"/>
              <w:jc w:val="center"/>
              <w:rPr>
                <w:b/>
                <w:bCs/>
              </w:rPr>
            </w:pPr>
            <w:r w:rsidRPr="00A76C1A">
              <w:rPr>
                <w:b/>
                <w:bCs/>
              </w:rPr>
              <w:t>1</w:t>
            </w:r>
          </w:p>
        </w:tc>
        <w:tc>
          <w:tcPr>
            <w:tcW w:w="6933"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254BF0">
        <w:trPr>
          <w:jc w:val="center"/>
        </w:trPr>
        <w:tc>
          <w:tcPr>
            <w:tcW w:w="1602" w:type="dxa"/>
            <w:shd w:val="clear" w:color="auto" w:fill="auto"/>
          </w:tcPr>
          <w:p w:rsidR="00F22DB3" w:rsidRPr="00A76C1A" w:rsidRDefault="00F22DB3" w:rsidP="001C026D">
            <w:pPr>
              <w:spacing w:after="0"/>
              <w:jc w:val="center"/>
            </w:pPr>
            <w:bookmarkStart w:id="96" w:name="_Ref166267282"/>
            <w:bookmarkEnd w:id="96"/>
            <w:r w:rsidRPr="00A76C1A">
              <w:t>9.1.</w:t>
            </w:r>
          </w:p>
        </w:tc>
        <w:tc>
          <w:tcPr>
            <w:tcW w:w="6933"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6933"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9.3.</w:t>
            </w:r>
          </w:p>
        </w:tc>
        <w:tc>
          <w:tcPr>
            <w:tcW w:w="6933"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BF0" w:rsidRDefault="00254BF0" w:rsidP="00254BF0">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254BF0" w:rsidRDefault="00254BF0" w:rsidP="00254BF0">
                  <w:pPr>
                    <w:spacing w:after="0"/>
                    <w:jc w:val="center"/>
                  </w:pPr>
                </w:p>
                <w:p w:rsidR="00574150" w:rsidRDefault="00390A33" w:rsidP="00254BF0">
                  <w:pPr>
                    <w:autoSpaceDE w:val="0"/>
                    <w:spacing w:after="0"/>
                    <w:jc w:val="center"/>
                  </w:pPr>
                  <w:r>
                    <w:t>г. Алексин, пл. Победы, д. 13</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623D1B" w:rsidRDefault="00623D1B" w:rsidP="00E333B4">
                  <w:pPr>
                    <w:pStyle w:val="29"/>
                    <w:spacing w:after="0" w:line="240" w:lineRule="auto"/>
                    <w:ind w:left="0"/>
                    <w:jc w:val="center"/>
                  </w:pPr>
                </w:p>
                <w:p w:rsidR="00E333B4" w:rsidRDefault="00254BF0" w:rsidP="00E333B4">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6933"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254BF0" w:rsidRDefault="00254BF0" w:rsidP="00254BF0">
            <w:pPr>
              <w:spacing w:after="0"/>
              <w:jc w:val="center"/>
              <w:rPr>
                <w:kern w:val="0"/>
                <w:lang w:eastAsia="en-US"/>
              </w:rPr>
            </w:pPr>
            <w:r>
              <w:t>Многоквартирный жилой дом, расположенный по адресу:</w:t>
            </w:r>
          </w:p>
          <w:p w:rsidR="00254BF0" w:rsidRDefault="00254BF0" w:rsidP="00254BF0">
            <w:pPr>
              <w:spacing w:after="0"/>
              <w:jc w:val="center"/>
            </w:pPr>
          </w:p>
          <w:p w:rsidR="005C2B78" w:rsidRDefault="00390A33" w:rsidP="00254BF0">
            <w:pPr>
              <w:autoSpaceDE w:val="0"/>
              <w:spacing w:after="0"/>
              <w:jc w:val="center"/>
            </w:pPr>
            <w:r>
              <w:t>г. Алексин, пл. Победы, д. 13</w:t>
            </w:r>
          </w:p>
          <w:p w:rsidR="00E30553" w:rsidRPr="003F0B50" w:rsidRDefault="00E30553" w:rsidP="00E30553">
            <w:pPr>
              <w:autoSpaceDE w:val="0"/>
              <w:spacing w:after="0"/>
              <w:jc w:val="center"/>
            </w:pP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9.5.</w:t>
            </w:r>
          </w:p>
        </w:tc>
        <w:tc>
          <w:tcPr>
            <w:tcW w:w="6933"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254BF0">
        <w:trPr>
          <w:trHeight w:val="331"/>
          <w:jc w:val="center"/>
        </w:trPr>
        <w:tc>
          <w:tcPr>
            <w:tcW w:w="1602"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6933"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390A33">
              <w:rPr>
                <w:color w:val="000000"/>
              </w:rPr>
              <w:t>1 556 611,94</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254BF0">
        <w:trPr>
          <w:jc w:val="center"/>
        </w:trPr>
        <w:tc>
          <w:tcPr>
            <w:tcW w:w="1602" w:type="dxa"/>
            <w:shd w:val="clear" w:color="auto" w:fill="auto"/>
          </w:tcPr>
          <w:p w:rsidR="00F22DB3" w:rsidRPr="00A76C1A" w:rsidRDefault="00F22DB3" w:rsidP="00D31CE8">
            <w:pPr>
              <w:spacing w:after="0"/>
              <w:jc w:val="center"/>
            </w:pPr>
            <w:r w:rsidRPr="00A76C1A">
              <w:t>9.7.</w:t>
            </w:r>
          </w:p>
        </w:tc>
        <w:tc>
          <w:tcPr>
            <w:tcW w:w="6933"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9.8.</w:t>
            </w:r>
          </w:p>
        </w:tc>
        <w:tc>
          <w:tcPr>
            <w:tcW w:w="6933"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lastRenderedPageBreak/>
              <w:t>9.9.</w:t>
            </w:r>
          </w:p>
        </w:tc>
        <w:tc>
          <w:tcPr>
            <w:tcW w:w="6933"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r w:rsidRPr="00A76C1A">
              <w:t>9.10.</w:t>
            </w:r>
          </w:p>
        </w:tc>
        <w:tc>
          <w:tcPr>
            <w:tcW w:w="6933"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6933"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6933"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DF7A98" w:rsidRDefault="004F52DD" w:rsidP="00254BF0">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254BF0" w:rsidRDefault="00254BF0" w:rsidP="00254BF0">
                  <w:pPr>
                    <w:spacing w:after="0"/>
                    <w:rPr>
                      <w:rFonts w:eastAsia="Calibri"/>
                    </w:rPr>
                  </w:pPr>
                </w:p>
                <w:p w:rsidR="00254BF0" w:rsidRDefault="00254BF0" w:rsidP="00254BF0">
                  <w:pPr>
                    <w:spacing w:after="0"/>
                    <w:rPr>
                      <w:rFonts w:eastAsia="Calibri"/>
                    </w:rPr>
                  </w:pPr>
                </w:p>
                <w:p w:rsidR="00254BF0" w:rsidRDefault="00254BF0" w:rsidP="00254BF0">
                  <w:pPr>
                    <w:spacing w:after="0"/>
                    <w:rPr>
                      <w:rFonts w:eastAsia="Calibri"/>
                    </w:rPr>
                  </w:pPr>
                </w:p>
                <w:p w:rsidR="00254BF0" w:rsidRPr="000E0D9A" w:rsidRDefault="00254BF0" w:rsidP="00254BF0">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254BF0">
        <w:trPr>
          <w:trHeight w:val="983"/>
          <w:jc w:val="center"/>
        </w:trPr>
        <w:tc>
          <w:tcPr>
            <w:tcW w:w="1602"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6933"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25AD4">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25AD4">
              <w:t>9</w:t>
            </w:r>
            <w:r w:rsidR="00FD560D">
              <w:t xml:space="preserve"> октября</w:t>
            </w:r>
            <w:r w:rsidR="00E317E4">
              <w:t xml:space="preserve"> </w:t>
            </w:r>
            <w:r w:rsidR="002240DC">
              <w:t>2016</w:t>
            </w:r>
            <w:r w:rsidRPr="000B7DFC">
              <w:t xml:space="preserve"> года.</w:t>
            </w:r>
          </w:p>
          <w:p w:rsidR="00F22DB3" w:rsidRPr="00A76C1A" w:rsidRDefault="00006AA7" w:rsidP="00025AD4">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25AD4">
              <w:t>8</w:t>
            </w:r>
            <w:r w:rsidR="00FD560D">
              <w:t xml:space="preserve"> октября</w:t>
            </w:r>
            <w:r w:rsidR="006A6D25">
              <w:t xml:space="preserve"> </w:t>
            </w:r>
            <w:r w:rsidR="002240DC">
              <w:t>2016</w:t>
            </w:r>
            <w:r w:rsidRPr="000B7DFC">
              <w:t xml:space="preserve"> года.</w:t>
            </w:r>
          </w:p>
        </w:tc>
      </w:tr>
      <w:tr w:rsidR="00F22DB3" w:rsidRPr="00A76C1A" w:rsidTr="00254BF0">
        <w:trPr>
          <w:jc w:val="center"/>
        </w:trPr>
        <w:tc>
          <w:tcPr>
            <w:tcW w:w="1602"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6933"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25AD4">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25AD4">
              <w:t>20</w:t>
            </w:r>
            <w:r w:rsidR="004C71C7">
              <w:t xml:space="preserve"> 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254BF0">
        <w:trPr>
          <w:jc w:val="center"/>
        </w:trPr>
        <w:tc>
          <w:tcPr>
            <w:tcW w:w="1602" w:type="dxa"/>
            <w:shd w:val="clear" w:color="auto" w:fill="auto"/>
          </w:tcPr>
          <w:p w:rsidR="00147DB8" w:rsidRPr="00A76C1A" w:rsidRDefault="00254BF0" w:rsidP="00147DB8">
            <w:pPr>
              <w:spacing w:after="0"/>
              <w:jc w:val="center"/>
            </w:pPr>
            <w:r>
              <w:t>9.15.</w:t>
            </w:r>
          </w:p>
        </w:tc>
        <w:tc>
          <w:tcPr>
            <w:tcW w:w="6933" w:type="dxa"/>
            <w:shd w:val="clear" w:color="auto" w:fill="auto"/>
          </w:tcPr>
          <w:p w:rsidR="004F4DBD" w:rsidRPr="00A76C1A" w:rsidRDefault="00254BF0" w:rsidP="00147DB8">
            <w:pPr>
              <w:keepLines/>
              <w:widowControl w:val="0"/>
              <w:suppressLineNumbers/>
              <w:spacing w:after="0"/>
            </w:pPr>
            <w:r>
              <w:rPr>
                <w:b/>
              </w:rPr>
              <w:t>Обеспечение заявок на участие в конкурсе:</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254BF0">
            <w:pPr>
              <w:spacing w:after="0"/>
              <w:jc w:val="center"/>
            </w:pPr>
            <w:r>
              <w:t>9.16.</w:t>
            </w:r>
          </w:p>
        </w:tc>
        <w:tc>
          <w:tcPr>
            <w:tcW w:w="6933" w:type="dxa"/>
            <w:shd w:val="clear" w:color="auto" w:fill="auto"/>
          </w:tcPr>
          <w:p w:rsidR="00254BF0" w:rsidRDefault="00254BF0" w:rsidP="00254BF0">
            <w:pPr>
              <w:spacing w:after="0"/>
              <w:contextualSpacing/>
              <w:rPr>
                <w:spacing w:val="2"/>
                <w:kern w:val="2"/>
                <w:lang w:eastAsia="ru-RU"/>
              </w:rPr>
            </w:pPr>
            <w:r>
              <w:rPr>
                <w:b/>
                <w:kern w:val="0"/>
                <w:lang w:eastAsia="ru-RU"/>
              </w:rPr>
              <w:t>Размер и порядок внесения задатка в качестве обеспечения заявок на участие в торгах:</w:t>
            </w:r>
            <w:r>
              <w:rPr>
                <w:spacing w:val="2"/>
                <w:lang w:eastAsia="ru-RU"/>
              </w:rPr>
              <w:t xml:space="preserve"> </w:t>
            </w:r>
          </w:p>
          <w:p w:rsidR="00254BF0" w:rsidRDefault="00254BF0" w:rsidP="00254BF0">
            <w:pPr>
              <w:spacing w:after="0"/>
              <w:contextualSpacing/>
              <w:rPr>
                <w:spacing w:val="2"/>
                <w:lang w:eastAsia="ru-RU"/>
              </w:rPr>
            </w:pPr>
            <w:r>
              <w:rPr>
                <w:spacing w:val="2"/>
                <w:lang w:eastAsia="ru-RU"/>
              </w:rPr>
              <w:t>Размер обеспечения заявки составляет:</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254BF0" w:rsidRDefault="00254BF0" w:rsidP="00254BF0">
            <w:pPr>
              <w:pStyle w:val="ab"/>
              <w:numPr>
                <w:ilvl w:val="0"/>
                <w:numId w:val="12"/>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254BF0" w:rsidRDefault="00254BF0" w:rsidP="00254BF0">
            <w:pPr>
              <w:pStyle w:val="ab"/>
              <w:numPr>
                <w:ilvl w:val="0"/>
                <w:numId w:val="12"/>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254BF0" w:rsidRDefault="00254BF0" w:rsidP="00254BF0">
            <w:pPr>
              <w:suppressAutoHyphens w:val="0"/>
              <w:autoSpaceDE w:val="0"/>
              <w:autoSpaceDN w:val="0"/>
              <w:adjustRightInd w:val="0"/>
              <w:spacing w:after="0"/>
              <w:rPr>
                <w:b/>
                <w:kern w:val="0"/>
                <w:lang w:eastAsia="ru-RU"/>
              </w:rPr>
            </w:pPr>
          </w:p>
          <w:p w:rsidR="00254BF0" w:rsidRDefault="00390A33" w:rsidP="00254BF0">
            <w:pPr>
              <w:spacing w:after="120"/>
            </w:pPr>
            <w:r>
              <w:rPr>
                <w:lang w:eastAsia="ru-RU"/>
              </w:rPr>
              <w:t xml:space="preserve">Размер обеспечения заявки составляет 5% начальной (максимальной) цены договора и составляет 77 830,60 </w:t>
            </w:r>
            <w:r>
              <w:t>руб.</w:t>
            </w:r>
          </w:p>
          <w:p w:rsidR="00254BF0" w:rsidRDefault="00254BF0" w:rsidP="00254BF0">
            <w:pPr>
              <w:spacing w:after="120"/>
              <w:rPr>
                <w:kern w:val="2"/>
              </w:rPr>
            </w:pPr>
          </w:p>
          <w:p w:rsidR="00254BF0" w:rsidRDefault="00254BF0" w:rsidP="00254BF0">
            <w:pPr>
              <w:spacing w:after="120"/>
            </w:pPr>
            <w:r>
              <w:rPr>
                <w:b/>
                <w:kern w:val="0"/>
                <w:lang w:eastAsia="ru-RU"/>
              </w:rPr>
              <w:lastRenderedPageBreak/>
              <w:t>Порядок внесения  обеспечения заявок на участие в торгах.</w:t>
            </w:r>
          </w:p>
          <w:p w:rsidR="00254BF0" w:rsidRPr="00A76C1A" w:rsidRDefault="00254BF0" w:rsidP="00254BF0">
            <w:pPr>
              <w:keepLines/>
              <w:widowControl w:val="0"/>
              <w:suppressLineNumbers/>
              <w:spacing w:after="0"/>
              <w:rPr>
                <w:b/>
              </w:rPr>
            </w:pPr>
            <w:r>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lastRenderedPageBreak/>
              <w:t>9.17.</w:t>
            </w:r>
          </w:p>
        </w:tc>
        <w:tc>
          <w:tcPr>
            <w:tcW w:w="6933" w:type="dxa"/>
            <w:shd w:val="clear" w:color="auto" w:fill="auto"/>
          </w:tcPr>
          <w:p w:rsidR="00254BF0" w:rsidRDefault="00254BF0" w:rsidP="00254BF0">
            <w:pPr>
              <w:keepLines/>
              <w:widowControl w:val="0"/>
              <w:suppressLineNumbers/>
              <w:spacing w:after="0"/>
              <w:rPr>
                <w:b/>
                <w:kern w:val="2"/>
              </w:rPr>
            </w:pPr>
            <w:r>
              <w:rPr>
                <w:b/>
              </w:rPr>
              <w:t>Реквизиты счета для перечисления задатка, в качестве обеспечения заявок на участие в конкурсе</w:t>
            </w:r>
          </w:p>
          <w:p w:rsidR="00254BF0" w:rsidRDefault="00254BF0" w:rsidP="00254BF0">
            <w:pPr>
              <w:spacing w:after="0"/>
              <w:rPr>
                <w:bCs/>
                <w:kern w:val="2"/>
              </w:rPr>
            </w:pPr>
            <w:r>
              <w:rPr>
                <w:b/>
                <w:bCs/>
                <w:kern w:val="2"/>
              </w:rPr>
              <w:t xml:space="preserve">Получатель: </w:t>
            </w:r>
            <w:r>
              <w:rPr>
                <w:bCs/>
                <w:kern w:val="2"/>
              </w:rPr>
              <w:t>Фонд капитального ремонта Тульской области</w:t>
            </w:r>
          </w:p>
          <w:p w:rsidR="00254BF0" w:rsidRDefault="00254BF0" w:rsidP="00254BF0">
            <w:pPr>
              <w:spacing w:after="0"/>
              <w:rPr>
                <w:kern w:val="2"/>
              </w:rPr>
            </w:pPr>
            <w:r>
              <w:rPr>
                <w:kern w:val="2"/>
              </w:rPr>
              <w:t>ИНН 7103520526 КПП 710301001</w:t>
            </w:r>
          </w:p>
          <w:p w:rsidR="00254BF0" w:rsidRDefault="00254BF0" w:rsidP="00254BF0">
            <w:pPr>
              <w:spacing w:after="0"/>
              <w:rPr>
                <w:kern w:val="2"/>
              </w:rPr>
            </w:pPr>
            <w:r>
              <w:rPr>
                <w:kern w:val="2"/>
              </w:rPr>
              <w:t>Банк: Отделение № 8604 Сбербанка России г. Тула</w:t>
            </w:r>
          </w:p>
          <w:p w:rsidR="00254BF0" w:rsidRDefault="00254BF0" w:rsidP="00254BF0">
            <w:pPr>
              <w:spacing w:after="0"/>
              <w:rPr>
                <w:kern w:val="2"/>
              </w:rPr>
            </w:pPr>
            <w:r>
              <w:rPr>
                <w:kern w:val="2"/>
              </w:rPr>
              <w:t>БИК: 047003608</w:t>
            </w:r>
          </w:p>
          <w:p w:rsidR="00254BF0" w:rsidRDefault="00254BF0" w:rsidP="00254BF0">
            <w:pPr>
              <w:spacing w:after="0"/>
              <w:rPr>
                <w:rFonts w:eastAsia="Calibri"/>
                <w:kern w:val="0"/>
                <w:lang w:eastAsia="en-US"/>
              </w:rPr>
            </w:pPr>
            <w:r>
              <w:t>р/с: 40603810666000000037</w:t>
            </w:r>
          </w:p>
          <w:p w:rsidR="00254BF0" w:rsidRDefault="00254BF0" w:rsidP="00254BF0">
            <w:pPr>
              <w:spacing w:after="0"/>
              <w:rPr>
                <w:kern w:val="2"/>
              </w:rPr>
            </w:pPr>
            <w:r>
              <w:rPr>
                <w:kern w:val="2"/>
              </w:rPr>
              <w:t>к/счет: 30101810300000000608</w:t>
            </w:r>
          </w:p>
          <w:p w:rsidR="00254BF0" w:rsidRDefault="00254BF0" w:rsidP="00254BF0">
            <w:pPr>
              <w:spacing w:after="0"/>
              <w:rPr>
                <w:kern w:val="2"/>
              </w:rPr>
            </w:pPr>
            <w:r>
              <w:rPr>
                <w:b/>
                <w:bCs/>
                <w:kern w:val="2"/>
              </w:rPr>
              <w:t>Назначение платежа:</w:t>
            </w:r>
            <w:r>
              <w:rPr>
                <w:kern w:val="2"/>
              </w:rPr>
              <w:t xml:space="preserve"> обеспечение заявки на участие в конкурсе.</w:t>
            </w:r>
          </w:p>
          <w:p w:rsidR="00254BF0" w:rsidRPr="00A76C1A" w:rsidRDefault="00254BF0" w:rsidP="00390A33">
            <w:pPr>
              <w:keepLines/>
              <w:widowControl w:val="0"/>
              <w:suppressLineNumbers/>
              <w:spacing w:after="0"/>
              <w:rPr>
                <w:b/>
              </w:rPr>
            </w:pPr>
            <w:r>
              <w:rPr>
                <w:kern w:val="2"/>
              </w:rPr>
              <w:t xml:space="preserve">Реестровый номер торгов – </w:t>
            </w:r>
            <w:r w:rsidR="00025AD4">
              <w:rPr>
                <w:kern w:val="2"/>
              </w:rPr>
              <w:t>101</w:t>
            </w:r>
            <w:r w:rsidR="00390A33">
              <w:rPr>
                <w:kern w:val="2"/>
              </w:rPr>
              <w:t>2</w:t>
            </w:r>
            <w:r>
              <w:rPr>
                <w:kern w:val="2"/>
              </w:rPr>
              <w:t>.</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9.18.</w:t>
            </w:r>
          </w:p>
        </w:tc>
        <w:tc>
          <w:tcPr>
            <w:tcW w:w="6933" w:type="dxa"/>
            <w:shd w:val="clear" w:color="auto" w:fill="auto"/>
          </w:tcPr>
          <w:p w:rsidR="00254BF0" w:rsidRPr="00A76C1A" w:rsidRDefault="00254BF0" w:rsidP="00EC2089">
            <w:pPr>
              <w:keepLines/>
              <w:widowControl w:val="0"/>
              <w:suppressLineNumbers/>
              <w:spacing w:after="0"/>
              <w:rPr>
                <w:b/>
              </w:rPr>
            </w:pPr>
            <w:r>
              <w:rPr>
                <w:b/>
              </w:rPr>
              <w:t>Обеспечение исполнения договора:</w:t>
            </w:r>
            <w:r>
              <w:t xml:space="preserve"> установлено.</w:t>
            </w:r>
          </w:p>
        </w:tc>
      </w:tr>
      <w:tr w:rsidR="00254BF0" w:rsidRPr="00A76C1A" w:rsidTr="00254BF0">
        <w:trPr>
          <w:jc w:val="center"/>
        </w:trPr>
        <w:tc>
          <w:tcPr>
            <w:tcW w:w="1602" w:type="dxa"/>
            <w:shd w:val="clear" w:color="auto" w:fill="auto"/>
          </w:tcPr>
          <w:p w:rsidR="00254BF0" w:rsidRPr="00A76C1A" w:rsidRDefault="00254BF0" w:rsidP="00972912">
            <w:pPr>
              <w:spacing w:after="0"/>
              <w:jc w:val="center"/>
            </w:pPr>
            <w:r>
              <w:t>9.19.</w:t>
            </w:r>
          </w:p>
        </w:tc>
        <w:tc>
          <w:tcPr>
            <w:tcW w:w="6933" w:type="dxa"/>
            <w:shd w:val="clear" w:color="auto" w:fill="auto"/>
          </w:tcPr>
          <w:p w:rsidR="00254BF0" w:rsidRDefault="00254BF0" w:rsidP="00254BF0">
            <w:pPr>
              <w:suppressAutoHyphens w:val="0"/>
              <w:autoSpaceDE w:val="0"/>
              <w:autoSpaceDN w:val="0"/>
              <w:adjustRightInd w:val="0"/>
              <w:spacing w:after="0"/>
              <w:rPr>
                <w:b/>
                <w:kern w:val="0"/>
                <w:lang w:eastAsia="ru-RU"/>
              </w:rPr>
            </w:pPr>
            <w:r>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254BF0" w:rsidRDefault="00254BF0" w:rsidP="00254BF0">
            <w:pPr>
              <w:spacing w:after="0"/>
              <w:contextualSpacing/>
              <w:rPr>
                <w:spacing w:val="2"/>
                <w:kern w:val="2"/>
                <w:lang w:eastAsia="ru-RU"/>
              </w:rPr>
            </w:pPr>
            <w:r>
              <w:rPr>
                <w:spacing w:val="2"/>
                <w:lang w:eastAsia="ru-RU"/>
              </w:rPr>
              <w:t>Размер обеспечения исполнения договора составляет:</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254BF0" w:rsidRDefault="00254BF0" w:rsidP="00254BF0">
            <w:pPr>
              <w:pStyle w:val="ab"/>
              <w:numPr>
                <w:ilvl w:val="0"/>
                <w:numId w:val="13"/>
              </w:numPr>
              <w:spacing w:after="0"/>
              <w:rPr>
                <w:spacing w:val="2"/>
                <w:lang w:eastAsia="ru-RU"/>
              </w:rPr>
            </w:pPr>
            <w:r>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254BF0" w:rsidRDefault="00254BF0" w:rsidP="00254BF0">
            <w:pPr>
              <w:pStyle w:val="ab"/>
              <w:numPr>
                <w:ilvl w:val="0"/>
                <w:numId w:val="13"/>
              </w:numPr>
              <w:spacing w:after="0"/>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254BF0" w:rsidRDefault="00254BF0" w:rsidP="00254BF0">
            <w:pPr>
              <w:rPr>
                <w:lang w:eastAsia="ru-RU"/>
              </w:rPr>
            </w:pPr>
          </w:p>
          <w:p w:rsidR="00390A33" w:rsidRDefault="00390A33" w:rsidP="00390A33">
            <w:pPr>
              <w:autoSpaceDE w:val="0"/>
              <w:autoSpaceDN w:val="0"/>
              <w:adjustRightInd w:val="0"/>
              <w:spacing w:after="0"/>
              <w:rPr>
                <w:kern w:val="0"/>
                <w:lang w:eastAsia="en-US"/>
              </w:rPr>
            </w:pPr>
            <w:r>
              <w:rPr>
                <w:lang w:eastAsia="ru-RU"/>
              </w:rPr>
              <w:t xml:space="preserve">Размер обеспечения исполнения договора составляет 15% начальной (максимальной) цены договора и составляет 233 491,79 </w:t>
            </w:r>
            <w:r>
              <w:t>руб.</w:t>
            </w:r>
          </w:p>
          <w:p w:rsidR="00254BF0" w:rsidRDefault="00390A33" w:rsidP="00390A33">
            <w:r>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Pr>
                <w:lang w:eastAsia="ru-RU"/>
              </w:rPr>
              <w:t xml:space="preserve">77 830,60 </w:t>
            </w:r>
            <w:r>
              <w:t>руб. (при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00254BF0">
              <w:t xml:space="preserve"> </w:t>
            </w:r>
          </w:p>
          <w:p w:rsidR="00254BF0" w:rsidRDefault="00254BF0" w:rsidP="00254BF0">
            <w:pPr>
              <w:spacing w:after="0"/>
              <w:rPr>
                <w:spacing w:val="2"/>
                <w:lang w:eastAsia="ru-RU"/>
              </w:rPr>
            </w:pPr>
            <w:r>
              <w:rPr>
                <w:lang w:eastAsia="ru-RU"/>
              </w:rPr>
              <w:t>Исполнение договора обеспечивается</w:t>
            </w:r>
            <w:r>
              <w:t xml:space="preserve"> </w:t>
            </w:r>
            <w:r>
              <w:rPr>
                <w:lang w:eastAsia="ru-RU"/>
              </w:rPr>
              <w:t xml:space="preserve">предоставлением </w:t>
            </w:r>
            <w:r>
              <w:t>безотзывной банковской гарантии, выданной банком,</w:t>
            </w:r>
            <w:r>
              <w:rPr>
                <w:spacing w:val="2"/>
                <w:lang w:eastAsia="ru-RU"/>
              </w:rPr>
              <w:t xml:space="preserve"> включенным в предусмотренный статьей 74.1 Налогового кодекса Российской Федерации перечень банков, отвечающих </w:t>
            </w:r>
            <w:r>
              <w:rPr>
                <w:spacing w:val="2"/>
                <w:lang w:eastAsia="ru-RU"/>
              </w:rPr>
              <w:lastRenderedPageBreak/>
              <w:t>установленным требованиям для принятия банковских гарантий в целях налогообложения, или внесением денежных средств на счет:</w:t>
            </w:r>
          </w:p>
          <w:p w:rsidR="00254BF0" w:rsidRDefault="00254BF0" w:rsidP="00254BF0">
            <w:pPr>
              <w:spacing w:after="0"/>
            </w:pPr>
            <w:r>
              <w:t>р/с: 40603810666000000037</w:t>
            </w:r>
          </w:p>
          <w:p w:rsidR="00254BF0" w:rsidRDefault="00254BF0" w:rsidP="00254BF0">
            <w:pPr>
              <w:spacing w:after="0"/>
            </w:pPr>
            <w:r>
              <w:t>Банк: Отделение № 8604 Сбербанка России г. Тула</w:t>
            </w:r>
          </w:p>
          <w:p w:rsidR="00254BF0" w:rsidRDefault="00254BF0" w:rsidP="00254BF0">
            <w:pPr>
              <w:spacing w:after="0"/>
            </w:pPr>
            <w:r>
              <w:t>БИК: 047003608</w:t>
            </w:r>
          </w:p>
          <w:p w:rsidR="00254BF0" w:rsidRDefault="00254BF0" w:rsidP="00254BF0">
            <w:pPr>
              <w:spacing w:after="0"/>
            </w:pPr>
            <w:r>
              <w:t>к/счет: 30101810300000000608</w:t>
            </w:r>
          </w:p>
          <w:p w:rsidR="00254BF0" w:rsidRDefault="00254BF0" w:rsidP="00254BF0">
            <w:pPr>
              <w:rPr>
                <w:bCs/>
              </w:rPr>
            </w:pPr>
            <w:r>
              <w:rPr>
                <w:b/>
                <w:bCs/>
              </w:rPr>
              <w:t xml:space="preserve">Получатель: </w:t>
            </w:r>
            <w:r>
              <w:rPr>
                <w:bCs/>
              </w:rPr>
              <w:t>Фонд капитального ремонта Тульской области</w:t>
            </w:r>
          </w:p>
          <w:p w:rsidR="00254BF0" w:rsidRDefault="00254BF0" w:rsidP="00254BF0">
            <w:pPr>
              <w:spacing w:after="0"/>
            </w:pPr>
            <w:r>
              <w:t>ИНН 7103520526 КПП 710301001</w:t>
            </w:r>
          </w:p>
          <w:p w:rsidR="00254BF0" w:rsidRDefault="00254BF0" w:rsidP="00254BF0">
            <w:pPr>
              <w:spacing w:after="0"/>
            </w:pPr>
            <w:r>
              <w:rPr>
                <w:b/>
                <w:bCs/>
              </w:rPr>
              <w:t>Назначение платежа:</w:t>
            </w:r>
            <w:r>
              <w:t xml:space="preserve"> обеспечение исполнения договора.</w:t>
            </w:r>
          </w:p>
          <w:p w:rsidR="00254BF0" w:rsidRDefault="00254BF0" w:rsidP="00254BF0">
            <w:pPr>
              <w:autoSpaceDE w:val="0"/>
              <w:autoSpaceDN w:val="0"/>
              <w:adjustRightInd w:val="0"/>
              <w:spacing w:after="0"/>
              <w:rPr>
                <w:spacing w:val="2"/>
                <w:lang w:eastAsia="ru-RU"/>
              </w:rPr>
            </w:pPr>
            <w:r>
              <w:t xml:space="preserve">Реестровый номер торгов – </w:t>
            </w:r>
            <w:r w:rsidR="00025AD4">
              <w:t>101</w:t>
            </w:r>
            <w:r w:rsidR="00390A33">
              <w:t>2</w:t>
            </w:r>
            <w:r>
              <w:t>.</w:t>
            </w:r>
          </w:p>
          <w:p w:rsidR="00254BF0" w:rsidRPr="00A76C1A" w:rsidRDefault="00254BF0" w:rsidP="00254BF0">
            <w:pPr>
              <w:keepLines/>
              <w:widowControl w:val="0"/>
              <w:suppressLineNumbers/>
              <w:spacing w:after="0"/>
              <w:rPr>
                <w:b/>
              </w:rPr>
            </w:pPr>
            <w:r>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bookmarkStart w:id="110" w:name="_Ref166315376"/>
            <w:bookmarkEnd w:id="110"/>
            <w:r w:rsidRPr="00A76C1A">
              <w:lastRenderedPageBreak/>
              <w:t>9.</w:t>
            </w:r>
            <w:r w:rsidR="00254BF0">
              <w:t>20</w:t>
            </w:r>
            <w:r w:rsidRPr="00A76C1A">
              <w:t>.</w:t>
            </w:r>
          </w:p>
        </w:tc>
        <w:tc>
          <w:tcPr>
            <w:tcW w:w="6933"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25AD4">
            <w:r w:rsidRPr="00972912">
              <w:t xml:space="preserve">Вскрытие конвертов с заявками на участие в конкурсе состоится   </w:t>
            </w:r>
            <w:r w:rsidR="004037C4">
              <w:rPr>
                <w:lang w:eastAsia="ru-RU"/>
              </w:rPr>
              <w:t>2</w:t>
            </w:r>
            <w:r w:rsidR="00025AD4">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w:t>
            </w:r>
            <w:r w:rsidR="00254BF0">
              <w:t>21</w:t>
            </w:r>
            <w:r w:rsidRPr="00A76C1A">
              <w:t>.</w:t>
            </w:r>
          </w:p>
        </w:tc>
        <w:tc>
          <w:tcPr>
            <w:tcW w:w="6933" w:type="dxa"/>
            <w:shd w:val="clear" w:color="auto" w:fill="auto"/>
          </w:tcPr>
          <w:p w:rsidR="00972912" w:rsidRPr="00972912" w:rsidRDefault="00147DB8" w:rsidP="00025AD4">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25AD4">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254BF0">
        <w:trPr>
          <w:trHeight w:val="586"/>
          <w:jc w:val="center"/>
        </w:trPr>
        <w:tc>
          <w:tcPr>
            <w:tcW w:w="1602" w:type="dxa"/>
            <w:shd w:val="clear" w:color="auto" w:fill="auto"/>
          </w:tcPr>
          <w:p w:rsidR="00147DB8" w:rsidRPr="00A76C1A" w:rsidRDefault="00147DB8" w:rsidP="00254BF0">
            <w:pPr>
              <w:spacing w:after="0"/>
              <w:jc w:val="center"/>
            </w:pPr>
            <w:r w:rsidRPr="00A76C1A">
              <w:t>9.</w:t>
            </w:r>
            <w:r w:rsidR="00254BF0">
              <w:t>22</w:t>
            </w:r>
            <w:r w:rsidRPr="00A76C1A">
              <w:t>.</w:t>
            </w:r>
          </w:p>
        </w:tc>
        <w:tc>
          <w:tcPr>
            <w:tcW w:w="6933"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xml:space="preserve">. Квалификация персонала (наличие </w:t>
                  </w:r>
                  <w:r w:rsidRPr="00A76C1A">
                    <w:lastRenderedPageBreak/>
                    <w:t>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lastRenderedPageBreak/>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84709"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lastRenderedPageBreak/>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 xml:space="preserve">опытом работы более 5 </w:t>
                  </w:r>
                  <w:r w:rsidRPr="00A76C1A">
                    <w:lastRenderedPageBreak/>
                    <w:t>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lastRenderedPageBreak/>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lastRenderedPageBreak/>
              <w:t>9.2</w:t>
            </w:r>
            <w:r w:rsidR="00254BF0">
              <w:t>3</w:t>
            </w:r>
            <w:r w:rsidRPr="00A76C1A">
              <w:t>.</w:t>
            </w:r>
          </w:p>
        </w:tc>
        <w:tc>
          <w:tcPr>
            <w:tcW w:w="6933"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7C2214" w:rsidRPr="00A76C1A" w:rsidRDefault="00147DB8" w:rsidP="00025AD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4</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254BF0">
        <w:trPr>
          <w:jc w:val="center"/>
        </w:trPr>
        <w:tc>
          <w:tcPr>
            <w:tcW w:w="1602" w:type="dxa"/>
            <w:shd w:val="clear" w:color="auto" w:fill="auto"/>
          </w:tcPr>
          <w:p w:rsidR="00147DB8" w:rsidRPr="00A76C1A" w:rsidRDefault="00147DB8" w:rsidP="00254BF0">
            <w:pPr>
              <w:spacing w:after="0"/>
              <w:jc w:val="center"/>
            </w:pPr>
            <w:r w:rsidRPr="00A76C1A">
              <w:t>9.2</w:t>
            </w:r>
            <w:r w:rsidR="00254BF0">
              <w:t>5</w:t>
            </w:r>
            <w:r w:rsidRPr="00A76C1A">
              <w:t>.</w:t>
            </w:r>
          </w:p>
        </w:tc>
        <w:tc>
          <w:tcPr>
            <w:tcW w:w="6933"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98"/>
        <w:gridCol w:w="3345"/>
        <w:gridCol w:w="3128"/>
        <w:gridCol w:w="1973"/>
      </w:tblGrid>
      <w:tr w:rsidR="00390A33" w:rsidRPr="00390A33" w:rsidTr="00390A33">
        <w:trPr>
          <w:trHeight w:val="397"/>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 п/п</w:t>
            </w:r>
          </w:p>
        </w:tc>
        <w:tc>
          <w:tcPr>
            <w:tcW w:w="1790" w:type="pct"/>
            <w:tcBorders>
              <w:top w:val="single" w:sz="4" w:space="0" w:color="auto"/>
              <w:left w:val="nil"/>
              <w:bottom w:val="single" w:sz="4" w:space="0" w:color="auto"/>
              <w:right w:val="single" w:sz="4" w:space="0" w:color="auto"/>
            </w:tcBorders>
            <w:shd w:val="clear" w:color="auto" w:fill="auto"/>
            <w:noWrap/>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Адрес МКД</w:t>
            </w:r>
          </w:p>
        </w:tc>
        <w:tc>
          <w:tcPr>
            <w:tcW w:w="1674" w:type="pct"/>
            <w:tcBorders>
              <w:top w:val="single" w:sz="4" w:space="0" w:color="auto"/>
              <w:left w:val="nil"/>
              <w:bottom w:val="single" w:sz="4" w:space="0" w:color="auto"/>
              <w:right w:val="single" w:sz="4" w:space="0" w:color="auto"/>
            </w:tcBorders>
            <w:shd w:val="clear" w:color="auto" w:fill="auto"/>
            <w:noWrap/>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Виды работ</w:t>
            </w:r>
          </w:p>
        </w:tc>
        <w:tc>
          <w:tcPr>
            <w:tcW w:w="1056" w:type="pct"/>
            <w:tcBorders>
              <w:top w:val="single" w:sz="4" w:space="0" w:color="auto"/>
              <w:left w:val="nil"/>
              <w:bottom w:val="single" w:sz="4" w:space="0" w:color="auto"/>
              <w:right w:val="single" w:sz="4" w:space="0" w:color="auto"/>
            </w:tcBorders>
            <w:shd w:val="clear" w:color="auto" w:fill="auto"/>
            <w:noWrap/>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Стоимость руб.</w:t>
            </w:r>
          </w:p>
        </w:tc>
      </w:tr>
      <w:tr w:rsidR="00390A33" w:rsidRPr="00390A33" w:rsidTr="00390A33">
        <w:trPr>
          <w:trHeight w:val="397"/>
        </w:trPr>
        <w:tc>
          <w:tcPr>
            <w:tcW w:w="480" w:type="pct"/>
            <w:tcBorders>
              <w:top w:val="nil"/>
              <w:left w:val="single" w:sz="4" w:space="0" w:color="auto"/>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color w:val="000000"/>
                <w:kern w:val="0"/>
                <w:lang w:eastAsia="ru-RU"/>
              </w:rPr>
            </w:pPr>
            <w:r w:rsidRPr="00390A33">
              <w:rPr>
                <w:color w:val="000000"/>
                <w:kern w:val="0"/>
                <w:lang w:eastAsia="ru-RU"/>
              </w:rPr>
              <w:t>1</w:t>
            </w:r>
          </w:p>
        </w:tc>
        <w:tc>
          <w:tcPr>
            <w:tcW w:w="1790" w:type="pct"/>
            <w:tcBorders>
              <w:top w:val="nil"/>
              <w:left w:val="nil"/>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color w:val="000000"/>
                <w:kern w:val="0"/>
                <w:lang w:eastAsia="ru-RU"/>
              </w:rPr>
            </w:pPr>
            <w:r w:rsidRPr="00390A33">
              <w:rPr>
                <w:color w:val="000000"/>
                <w:kern w:val="0"/>
                <w:lang w:eastAsia="ru-RU"/>
              </w:rPr>
              <w:t>г. Алексин, пл. Победы, д. 13</w:t>
            </w:r>
          </w:p>
        </w:tc>
        <w:tc>
          <w:tcPr>
            <w:tcW w:w="1674" w:type="pct"/>
            <w:tcBorders>
              <w:top w:val="nil"/>
              <w:left w:val="nil"/>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color w:val="000000"/>
                <w:kern w:val="0"/>
                <w:lang w:eastAsia="ru-RU"/>
              </w:rPr>
            </w:pPr>
            <w:r w:rsidRPr="00390A33">
              <w:rPr>
                <w:color w:val="000000"/>
                <w:kern w:val="0"/>
                <w:lang w:eastAsia="ru-RU"/>
              </w:rPr>
              <w:t>ремонт системы отопления</w:t>
            </w:r>
          </w:p>
        </w:tc>
        <w:tc>
          <w:tcPr>
            <w:tcW w:w="1056" w:type="pct"/>
            <w:tcBorders>
              <w:top w:val="nil"/>
              <w:left w:val="nil"/>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color w:val="000000"/>
                <w:kern w:val="0"/>
                <w:lang w:eastAsia="ru-RU"/>
              </w:rPr>
            </w:pPr>
            <w:r w:rsidRPr="00390A33">
              <w:rPr>
                <w:color w:val="000000"/>
                <w:kern w:val="0"/>
                <w:lang w:eastAsia="ru-RU"/>
              </w:rPr>
              <w:t>1 556 611,94</w:t>
            </w:r>
          </w:p>
        </w:tc>
      </w:tr>
      <w:tr w:rsidR="00390A33" w:rsidRPr="00390A33" w:rsidTr="00390A33">
        <w:trPr>
          <w:trHeight w:val="397"/>
        </w:trPr>
        <w:tc>
          <w:tcPr>
            <w:tcW w:w="394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ИТОГО:</w:t>
            </w:r>
          </w:p>
        </w:tc>
        <w:tc>
          <w:tcPr>
            <w:tcW w:w="1056" w:type="pct"/>
            <w:tcBorders>
              <w:top w:val="nil"/>
              <w:left w:val="nil"/>
              <w:bottom w:val="single" w:sz="4" w:space="0" w:color="auto"/>
              <w:right w:val="single" w:sz="4" w:space="0" w:color="auto"/>
            </w:tcBorders>
            <w:shd w:val="clear" w:color="auto" w:fill="auto"/>
            <w:vAlign w:val="center"/>
            <w:hideMark/>
          </w:tcPr>
          <w:p w:rsidR="00390A33" w:rsidRPr="00390A33" w:rsidRDefault="00390A33" w:rsidP="00390A33">
            <w:pPr>
              <w:suppressAutoHyphens w:val="0"/>
              <w:spacing w:after="0"/>
              <w:jc w:val="center"/>
              <w:rPr>
                <w:b/>
                <w:bCs/>
                <w:color w:val="000000"/>
                <w:kern w:val="0"/>
                <w:lang w:eastAsia="ru-RU"/>
              </w:rPr>
            </w:pPr>
            <w:r w:rsidRPr="00390A33">
              <w:rPr>
                <w:b/>
                <w:bCs/>
                <w:color w:val="000000"/>
                <w:kern w:val="0"/>
                <w:lang w:eastAsia="ru-RU"/>
              </w:rPr>
              <w:t>1 556 611,94</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254BF0">
        <w:t>выполнение дополнительных работ по капитальному ремонту общего имущества многоквартирного жилого дома, расположенного по адресу:</w:t>
      </w:r>
    </w:p>
    <w:p w:rsidR="00602620" w:rsidRDefault="00602620" w:rsidP="00602620">
      <w:pPr>
        <w:spacing w:after="0"/>
        <w:jc w:val="center"/>
      </w:pPr>
    </w:p>
    <w:p w:rsidR="00254BF0" w:rsidRDefault="00390A33" w:rsidP="00254BF0">
      <w:pPr>
        <w:autoSpaceDE w:val="0"/>
        <w:spacing w:after="0"/>
        <w:jc w:val="center"/>
      </w:pPr>
      <w:r>
        <w:t>г. Алексин, пл. Победы, д. 13</w:t>
      </w:r>
    </w:p>
    <w:p w:rsidR="00254BF0" w:rsidRDefault="00254BF0" w:rsidP="00254BF0">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w:t>
      </w:r>
      <w:bookmarkStart w:id="130" w:name="_GoBack"/>
      <w:bookmarkEnd w:id="130"/>
      <w:r w:rsidR="00E42C75">
        <w:t>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390A33" w:rsidP="002B5D6A">
      <w:pPr>
        <w:jc w:val="center"/>
      </w:pPr>
      <w:r>
        <w:rPr>
          <w:color w:val="000000"/>
        </w:rPr>
        <w:t>1 556 611,94</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64" w:rsidRDefault="006E4164">
      <w:pPr>
        <w:spacing w:after="0"/>
      </w:pPr>
      <w:r>
        <w:separator/>
      </w:r>
    </w:p>
  </w:endnote>
  <w:endnote w:type="continuationSeparator" w:id="0">
    <w:p w:rsidR="006E4164" w:rsidRDefault="006E4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Pr="00394EB9" w:rsidRDefault="006E4164"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64" w:rsidRDefault="006E4164">
      <w:pPr>
        <w:spacing w:after="0"/>
      </w:pPr>
      <w:r>
        <w:separator/>
      </w:r>
    </w:p>
  </w:footnote>
  <w:footnote w:type="continuationSeparator" w:id="0">
    <w:p w:rsidR="006E4164" w:rsidRDefault="006E416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rsidP="001C026D">
    <w:pPr>
      <w:jc w:val="center"/>
    </w:pPr>
    <w:r>
      <w:fldChar w:fldCharType="begin"/>
    </w:r>
    <w:r>
      <w:instrText>PAGE   \* MERGEFORMAT</w:instrText>
    </w:r>
    <w:r>
      <w:fldChar w:fldCharType="separate"/>
    </w:r>
    <w:r w:rsidR="00390A33">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rsidP="001C026D">
    <w:pPr>
      <w:jc w:val="center"/>
    </w:pPr>
    <w:r>
      <w:fldChar w:fldCharType="begin"/>
    </w:r>
    <w:r>
      <w:instrText>PAGE   \* MERGEFORMAT</w:instrText>
    </w:r>
    <w:r>
      <w:fldChar w:fldCharType="separate"/>
    </w:r>
    <w:r w:rsidR="00390A33">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rsidP="001C026D">
    <w:pPr>
      <w:jc w:val="center"/>
    </w:pPr>
    <w:r>
      <w:fldChar w:fldCharType="begin"/>
    </w:r>
    <w:r>
      <w:instrText>PAGE   \* MERGEFORMAT</w:instrText>
    </w:r>
    <w:r>
      <w:fldChar w:fldCharType="separate"/>
    </w:r>
    <w:r w:rsidR="00390A33">
      <w:rPr>
        <w:noProof/>
      </w:rPr>
      <w:t>49</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164" w:rsidRDefault="006E41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21DA6D50"/>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9011BE"/>
    <w:multiLevelType w:val="multilevel"/>
    <w:tmpl w:val="0056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4"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4"/>
  </w:num>
  <w:num w:numId="3">
    <w:abstractNumId w:val="11"/>
  </w:num>
  <w:num w:numId="4">
    <w:abstractNumId w:val="4"/>
  </w:num>
  <w:num w:numId="5">
    <w:abstractNumId w:val="3"/>
  </w:num>
  <w:num w:numId="6">
    <w:abstractNumId w:val="2"/>
  </w:num>
  <w:num w:numId="7">
    <w:abstractNumId w:val="1"/>
  </w:num>
  <w:num w:numId="8">
    <w:abstractNumId w:val="0"/>
  </w:num>
  <w:num w:numId="9">
    <w:abstractNumId w:val="13"/>
  </w:num>
  <w:num w:numId="10">
    <w:abstractNumId w:val="16"/>
  </w:num>
  <w:num w:numId="11">
    <w:abstractNumId w:val="15"/>
  </w:num>
  <w:num w:numId="12">
    <w:abstractNumId w:val="12"/>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5AD4"/>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BF0"/>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0A33"/>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0D3"/>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A4A"/>
    <w:rsid w:val="006D3E93"/>
    <w:rsid w:val="006D5BDE"/>
    <w:rsid w:val="006D67A3"/>
    <w:rsid w:val="006E0F0C"/>
    <w:rsid w:val="006E2605"/>
    <w:rsid w:val="006E2C4A"/>
    <w:rsid w:val="006E2D76"/>
    <w:rsid w:val="006E4164"/>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0DB00"/>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17513737">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0317324">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8055737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17525">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4381739">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91305778">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25629972">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0423873">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2315527">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75077308">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1151021">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40912590">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37782309">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4779709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3692682">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C69ED-5912-4D96-AD2B-8C3760BD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18399</Words>
  <Characters>104877</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2016-10-13T14:25:00Z</dcterms:created>
  <dcterms:modified xsi:type="dcterms:W3CDTF">2016-10-13T14:25:00Z</dcterms:modified>
</cp:coreProperties>
</file>