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AD181F" w:rsidRDefault="00AD181F"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AD181F" w:rsidRDefault="00AD181F" w:rsidP="00A06F60">
      <w:pPr>
        <w:spacing w:after="0"/>
        <w:jc w:val="right"/>
      </w:pPr>
    </w:p>
    <w:p w:rsidR="00A06F60" w:rsidRPr="00FE405D" w:rsidRDefault="00705B58" w:rsidP="00A06F60">
      <w:pPr>
        <w:spacing w:after="0"/>
        <w:jc w:val="right"/>
      </w:pPr>
      <w:r>
        <w:t xml:space="preserve">Реестровый номер торгов: </w:t>
      </w:r>
      <w:r w:rsidR="00027D85">
        <w:t>2</w:t>
      </w:r>
      <w:r w:rsidR="00A41541">
        <w:t>5</w:t>
      </w:r>
      <w:r w:rsidR="00591AC5">
        <w:t>9</w:t>
      </w:r>
    </w:p>
    <w:p w:rsidR="001C1456" w:rsidRDefault="001C1456" w:rsidP="009C60B2">
      <w:pPr>
        <w:spacing w:after="0"/>
        <w:jc w:val="right"/>
      </w:pPr>
    </w:p>
    <w:p w:rsidR="00AD181F" w:rsidRDefault="00AD181F" w:rsidP="009C60B2">
      <w:pPr>
        <w:spacing w:after="0"/>
        <w:jc w:val="right"/>
      </w:pPr>
    </w:p>
    <w:p w:rsidR="00AD181F" w:rsidRPr="001C1456" w:rsidRDefault="00AD181F" w:rsidP="009C60B2">
      <w:pPr>
        <w:spacing w:after="0"/>
        <w:jc w:val="right"/>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bookmarkStart w:id="0" w:name="_GoBack"/>
      <w:bookmarkEnd w:id="0"/>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D181F" w:rsidRDefault="00AD181F" w:rsidP="00A41541">
      <w:pPr>
        <w:spacing w:after="0"/>
        <w:jc w:val="center"/>
      </w:pP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ул.Баженова, д.34/40, секция А</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ул.Баженова, д.36, секция А</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ул.Баженова, д.38</w:t>
      </w:r>
      <w:r>
        <w:t>,</w:t>
      </w:r>
    </w:p>
    <w:p w:rsidR="00591AC5" w:rsidRPr="00D47DAC" w:rsidRDefault="00591AC5" w:rsidP="00591AC5">
      <w:pPr>
        <w:tabs>
          <w:tab w:val="center" w:pos="4677"/>
        </w:tabs>
        <w:autoSpaceDE w:val="0"/>
        <w:spacing w:after="0"/>
        <w:jc w:val="center"/>
      </w:pPr>
      <w:r w:rsidRPr="00D47DAC">
        <w:t>г</w:t>
      </w:r>
      <w:proofErr w:type="gramStart"/>
      <w:r w:rsidRPr="00D47DAC">
        <w:t>.Т</w:t>
      </w:r>
      <w:proofErr w:type="gramEnd"/>
      <w:r w:rsidRPr="00D47DAC">
        <w:t>ула, ул.Баженова, д.40а, секция А</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ул.Дементьева, д.31, секция  А</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ул.Дементьева, д.33, секция  А</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ул.Кирова, д.149</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ул.Кирова, д.161</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ул.Кирова, д.176</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ул.Кирова, д.182</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д.8а</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д.24/25</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д.124</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д.126</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д.128</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д.132</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д.134</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д.136</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ул.Мартеновская, д.21/12</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ул.Металлургов, д.31</w:t>
      </w:r>
      <w:r>
        <w:t>.</w:t>
      </w:r>
    </w:p>
    <w:p w:rsidR="00AD181F" w:rsidRDefault="00AD181F" w:rsidP="001C026D">
      <w:pPr>
        <w:autoSpaceDE w:val="0"/>
      </w:pPr>
    </w:p>
    <w:p w:rsidR="00AD181F" w:rsidRDefault="00AD181F"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AD181F" w:rsidRDefault="00AD181F" w:rsidP="001C026D">
      <w:pPr>
        <w:pStyle w:val="ConsPlusNormal"/>
        <w:widowControl/>
        <w:ind w:firstLine="0"/>
        <w:rPr>
          <w:rFonts w:ascii="Times New Roman" w:hAnsi="Times New Roman" w:cs="Times New Roman"/>
          <w:sz w:val="24"/>
          <w:szCs w:val="24"/>
        </w:rPr>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xml:space="preserve">- </w:t>
      </w:r>
      <w:proofErr w:type="spellStart"/>
      <w:r w:rsidR="00351700" w:rsidRPr="00A76C1A">
        <w:rPr>
          <w:rFonts w:ascii="Times New Roman" w:hAnsi="Times New Roman" w:cs="Times New Roman"/>
          <w:sz w:val="24"/>
          <w:szCs w:val="24"/>
        </w:rPr>
        <w:t>k</w:t>
      </w:r>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DC57FD" w:rsidP="001C026D">
      <w:pPr>
        <w:pStyle w:val="1f1"/>
        <w:rPr>
          <w:b w:val="0"/>
          <w:noProof/>
          <w:sz w:val="24"/>
          <w:szCs w:val="24"/>
        </w:rPr>
      </w:pPr>
      <w:r w:rsidRPr="00DC57FD">
        <w:rPr>
          <w:sz w:val="24"/>
          <w:szCs w:val="24"/>
        </w:rPr>
        <w:fldChar w:fldCharType="begin"/>
      </w:r>
      <w:r w:rsidR="001C026D" w:rsidRPr="00A76C1A">
        <w:rPr>
          <w:sz w:val="24"/>
          <w:szCs w:val="24"/>
        </w:rPr>
        <w:instrText xml:space="preserve"> TOC </w:instrText>
      </w:r>
      <w:r w:rsidRPr="00DC57FD">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DC57FD"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End w:id="3"/>
    </w:p>
    <w:p w:rsidR="0094488E" w:rsidRPr="00A76C1A" w:rsidRDefault="0094488E" w:rsidP="0094488E">
      <w:pPr>
        <w:pStyle w:val="1"/>
        <w:keepNext w:val="0"/>
        <w:spacing w:before="0" w:after="0"/>
        <w:jc w:val="center"/>
        <w:rPr>
          <w:rFonts w:ascii="Times New Roman" w:hAnsi="Times New Roman"/>
          <w:sz w:val="24"/>
          <w:szCs w:val="24"/>
        </w:rPr>
      </w:pPr>
      <w:bookmarkStart w:id="4" w:name="_Toc378593429"/>
      <w:bookmarkStart w:id="5" w:name="_Ref119427269"/>
      <w:bookmarkStart w:id="6" w:name="_Toc378593468"/>
      <w:bookmarkStart w:id="7" w:name="_%25D0%25A0%25D0%2590%25D0%2597%25D0%259"/>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DC57FD" w:rsidRPr="00A76C1A">
        <w:rPr>
          <w:bCs/>
        </w:rPr>
        <w:fldChar w:fldCharType="begin"/>
      </w:r>
      <w:r w:rsidRPr="00A76C1A">
        <w:rPr>
          <w:bCs/>
        </w:rPr>
        <w:instrText xml:space="preserve"> REF _Ref166267456 \h  \* MERGEFORMAT </w:instrText>
      </w:r>
      <w:r w:rsidR="00DC57FD" w:rsidRPr="00A76C1A">
        <w:rPr>
          <w:bCs/>
        </w:rPr>
      </w:r>
      <w:r w:rsidR="00DC57F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DC57FD" w:rsidRPr="00A76C1A">
        <w:rPr>
          <w:bCs/>
        </w:rPr>
        <w:fldChar w:fldCharType="begin"/>
      </w:r>
      <w:r w:rsidRPr="00A76C1A">
        <w:rPr>
          <w:bCs/>
        </w:rPr>
        <w:instrText xml:space="preserve"> REF _Ref166267457 \h  \* MERGEFORMAT </w:instrText>
      </w:r>
      <w:r w:rsidR="00DC57FD" w:rsidRPr="00A76C1A">
        <w:rPr>
          <w:bCs/>
        </w:rPr>
      </w:r>
      <w:r w:rsidR="00DC57FD"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DC57FD" w:rsidRPr="00A76C1A">
        <w:rPr>
          <w:bCs/>
        </w:rPr>
        <w:fldChar w:fldCharType="begin"/>
      </w:r>
      <w:r w:rsidRPr="00A76C1A">
        <w:rPr>
          <w:bCs/>
        </w:rPr>
        <w:instrText xml:space="preserve"> REF _Ref166267727 \h  \* MERGEFORMAT </w:instrText>
      </w:r>
      <w:r w:rsidR="00DC57FD" w:rsidRPr="00A76C1A">
        <w:rPr>
          <w:bCs/>
        </w:rPr>
      </w:r>
      <w:r w:rsidR="00DC57F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DC57FD" w:rsidRPr="00A76C1A">
        <w:rPr>
          <w:bCs/>
        </w:rPr>
        <w:fldChar w:fldCharType="begin"/>
      </w:r>
      <w:r w:rsidRPr="00A76C1A">
        <w:rPr>
          <w:bCs/>
        </w:rPr>
        <w:instrText xml:space="preserve"> REF _Ref166311076 \h  \* MERGEFORMAT </w:instrText>
      </w:r>
      <w:r w:rsidR="00DC57FD" w:rsidRPr="00A76C1A">
        <w:rPr>
          <w:bCs/>
        </w:rPr>
      </w:r>
      <w:r w:rsidR="00DC57F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DC57FD" w:rsidRPr="00A76C1A">
        <w:rPr>
          <w:bCs/>
        </w:rPr>
        <w:fldChar w:fldCharType="begin"/>
      </w:r>
      <w:r w:rsidRPr="00A76C1A">
        <w:rPr>
          <w:bCs/>
        </w:rPr>
        <w:instrText xml:space="preserve"> REF _Ref166311380 \h  \* MERGEFORMAT </w:instrText>
      </w:r>
      <w:r w:rsidR="00DC57FD" w:rsidRPr="00A76C1A">
        <w:rPr>
          <w:bCs/>
        </w:rPr>
      </w:r>
      <w:r w:rsidR="00DC57F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w:t>
      </w:r>
      <w:proofErr w:type="gramStart"/>
      <w:r w:rsidRPr="006412AF">
        <w:rPr>
          <w:lang w:eastAsia="ru-RU"/>
        </w:rPr>
        <w:t>г</w:t>
      </w:r>
      <w:proofErr w:type="gramEnd"/>
      <w:r w:rsidRPr="006412AF">
        <w:rPr>
          <w:lang w:eastAsia="ru-RU"/>
        </w:rPr>
        <w:t xml:space="preserve">.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DC57FD" w:rsidRPr="00A76C1A">
        <w:rPr>
          <w:bCs/>
        </w:rPr>
        <w:fldChar w:fldCharType="begin"/>
      </w:r>
      <w:r w:rsidRPr="00A76C1A">
        <w:rPr>
          <w:bCs/>
        </w:rPr>
        <w:instrText xml:space="preserve"> REF _Ref166312503 \h  \* MERGEFORMAT </w:instrText>
      </w:r>
      <w:r w:rsidR="00DC57FD" w:rsidRPr="00A76C1A">
        <w:rPr>
          <w:bCs/>
        </w:rPr>
      </w:r>
      <w:r w:rsidR="00DC57FD"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DC57FD" w:rsidRPr="00A76C1A">
        <w:rPr>
          <w:bCs/>
        </w:rPr>
        <w:fldChar w:fldCharType="begin"/>
      </w:r>
      <w:r w:rsidRPr="00A76C1A">
        <w:rPr>
          <w:bCs/>
        </w:rPr>
        <w:instrText xml:space="preserve"> REF _Ref166267727 \h  \* MERGEFORMAT </w:instrText>
      </w:r>
      <w:r w:rsidR="00DC57FD" w:rsidRPr="00A76C1A">
        <w:rPr>
          <w:bCs/>
        </w:rPr>
      </w:r>
      <w:r w:rsidR="00DC57FD"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DC57FD" w:rsidRPr="00856C74">
        <w:rPr>
          <w:bCs/>
        </w:rPr>
        <w:fldChar w:fldCharType="begin"/>
      </w:r>
      <w:r w:rsidRPr="00856C74">
        <w:rPr>
          <w:bCs/>
        </w:rPr>
        <w:instrText xml:space="preserve"> REF _Ref166315159 \h  \* MERGEFORMAT </w:instrText>
      </w:r>
      <w:r w:rsidR="00DC57FD" w:rsidRPr="00856C74">
        <w:rPr>
          <w:bCs/>
        </w:rPr>
      </w:r>
      <w:r w:rsidR="00DC57FD" w:rsidRPr="00856C74">
        <w:rPr>
          <w:bCs/>
        </w:rPr>
        <w:fldChar w:fldCharType="end"/>
      </w:r>
      <w:r w:rsidRPr="00856C74">
        <w:rPr>
          <w:bCs/>
        </w:rPr>
        <w:t xml:space="preserve"> и 9.17.</w:t>
      </w:r>
      <w:r w:rsidR="00DC57FD" w:rsidRPr="00856C74">
        <w:rPr>
          <w:bCs/>
        </w:rPr>
        <w:fldChar w:fldCharType="begin"/>
      </w:r>
      <w:r w:rsidRPr="00856C74">
        <w:rPr>
          <w:bCs/>
        </w:rPr>
        <w:instrText xml:space="preserve"> REF _Ref166315233 \h  \* MERGEFORMAT </w:instrText>
      </w:r>
      <w:r w:rsidR="00DC57FD" w:rsidRPr="00856C74">
        <w:rPr>
          <w:bCs/>
        </w:rPr>
      </w:r>
      <w:r w:rsidR="00DC57FD"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DC57FD" w:rsidRPr="00EC7F64">
        <w:rPr>
          <w:kern w:val="0"/>
          <w:lang w:eastAsia="ru-RU"/>
        </w:rPr>
        <w:fldChar w:fldCharType="begin"/>
      </w:r>
      <w:r w:rsidRPr="00EC7F64">
        <w:rPr>
          <w:kern w:val="0"/>
          <w:lang w:eastAsia="ru-RU"/>
        </w:rPr>
        <w:instrText xml:space="preserve"> REF _Ref166314817 \h  \* MERGEFORMAT </w:instrText>
      </w:r>
      <w:r w:rsidR="00DC57FD" w:rsidRPr="00EC7F64">
        <w:rPr>
          <w:kern w:val="0"/>
          <w:lang w:eastAsia="ru-RU"/>
        </w:rPr>
      </w:r>
      <w:r w:rsidR="00DC57FD"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5" w:name="_Ref166267282"/>
            <w:bookmarkEnd w:id="95"/>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w:t>
            </w:r>
            <w:proofErr w:type="gramStart"/>
            <w:r w:rsidR="00BC44AC" w:rsidRPr="00A76C1A">
              <w:t>г</w:t>
            </w:r>
            <w:proofErr w:type="gramEnd"/>
            <w:r w:rsidR="00BC44AC" w:rsidRPr="00A76C1A">
              <w:t xml:space="preserve">.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w:t>
            </w:r>
            <w:proofErr w:type="gramStart"/>
            <w:r w:rsidR="00BC44AC" w:rsidRPr="00A76C1A">
              <w:t>г</w:t>
            </w:r>
            <w:proofErr w:type="gramEnd"/>
            <w:r w:rsidR="00BC44AC" w:rsidRPr="00A76C1A">
              <w:t>.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B64537" w:rsidRPr="00A76C1A" w:rsidRDefault="00B64537" w:rsidP="001C026D">
            <w:pPr>
              <w:suppressAutoHyphens w:val="0"/>
              <w:autoSpaceDE w:val="0"/>
              <w:autoSpaceDN w:val="0"/>
              <w:adjustRightInd w:val="0"/>
              <w:spacing w:after="0"/>
              <w:rPr>
                <w:color w:val="000000"/>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ул.Баженова, д.34/40, секция А</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ул.Баженова, д.36, секция А</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ул.Баженова, д.38</w:t>
                  </w:r>
                  <w:r>
                    <w:t>,</w:t>
                  </w:r>
                </w:p>
                <w:p w:rsidR="00591AC5" w:rsidRPr="00D47DAC" w:rsidRDefault="00591AC5" w:rsidP="00591AC5">
                  <w:pPr>
                    <w:tabs>
                      <w:tab w:val="center" w:pos="4677"/>
                    </w:tabs>
                    <w:autoSpaceDE w:val="0"/>
                    <w:spacing w:after="0"/>
                    <w:jc w:val="center"/>
                  </w:pPr>
                  <w:r w:rsidRPr="00D47DAC">
                    <w:t>г</w:t>
                  </w:r>
                  <w:proofErr w:type="gramStart"/>
                  <w:r w:rsidRPr="00D47DAC">
                    <w:t>.Т</w:t>
                  </w:r>
                  <w:proofErr w:type="gramEnd"/>
                  <w:r w:rsidRPr="00D47DAC">
                    <w:t>ула, ул.Баженова, д.40а, секция А</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ул.Дементьева, д.31, секция  А</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ул.Дементьева, д.33, секция  А</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ул.Кирова, д.149</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ул.Кирова, д.161</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ул.Кирова, д.176</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ул.Кирова, д.182</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д.8а</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д.24/25</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д.124</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д.126</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д.128</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д.132</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д.134</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ул.Кутузова, д.136</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ул.Мартеновская, д.21/12</w:t>
                  </w:r>
                  <w:r>
                    <w:t>,</w:t>
                  </w:r>
                </w:p>
                <w:p w:rsidR="00591AC5" w:rsidRDefault="00591AC5" w:rsidP="00591AC5">
                  <w:pPr>
                    <w:tabs>
                      <w:tab w:val="center" w:pos="4677"/>
                    </w:tabs>
                    <w:autoSpaceDE w:val="0"/>
                    <w:spacing w:after="0"/>
                    <w:jc w:val="center"/>
                  </w:pPr>
                  <w:r w:rsidRPr="00D47DAC">
                    <w:t>г</w:t>
                  </w:r>
                  <w:proofErr w:type="gramStart"/>
                  <w:r w:rsidRPr="00D47DAC">
                    <w:t>.Т</w:t>
                  </w:r>
                  <w:proofErr w:type="gramEnd"/>
                  <w:r w:rsidRPr="00D47DAC">
                    <w:t>ула, ул.Металлургов, д.31</w:t>
                  </w:r>
                  <w:r>
                    <w:t>.</w:t>
                  </w:r>
                </w:p>
                <w:p w:rsidR="00C22CD9" w:rsidRPr="00A76C1A" w:rsidRDefault="00C22CD9" w:rsidP="00B64537">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591AC5" w:rsidP="00D551A5">
                  <w:pPr>
                    <w:pStyle w:val="29"/>
                    <w:spacing w:after="0" w:line="240" w:lineRule="auto"/>
                    <w:ind w:left="0"/>
                    <w:jc w:val="center"/>
                  </w:pPr>
                  <w:r>
                    <w:t>20</w:t>
                  </w:r>
                </w:p>
              </w:tc>
            </w:tr>
          </w:tbl>
          <w:p w:rsidR="00D551A5" w:rsidRDefault="00D551A5" w:rsidP="00A725DC">
            <w:pPr>
              <w:suppressAutoHyphens w:val="0"/>
              <w:autoSpaceDE w:val="0"/>
              <w:autoSpaceDN w:val="0"/>
              <w:adjustRightInd w:val="0"/>
              <w:spacing w:after="0"/>
              <w:rPr>
                <w:lang w:eastAsia="en-US"/>
              </w:rPr>
            </w:pPr>
          </w:p>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lastRenderedPageBreak/>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ул.Баженова, д.34/40, секция А</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ул.Баженова, д.36, секция А</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ул.Баженова, д.38</w:t>
            </w:r>
            <w:r>
              <w:t>,</w:t>
            </w:r>
          </w:p>
          <w:p w:rsidR="003B2CFB" w:rsidRPr="00D47DAC" w:rsidRDefault="003B2CFB" w:rsidP="003B2CFB">
            <w:pPr>
              <w:tabs>
                <w:tab w:val="center" w:pos="4677"/>
              </w:tabs>
              <w:autoSpaceDE w:val="0"/>
              <w:spacing w:after="0"/>
              <w:jc w:val="center"/>
            </w:pPr>
            <w:r w:rsidRPr="00D47DAC">
              <w:t>г</w:t>
            </w:r>
            <w:proofErr w:type="gramStart"/>
            <w:r w:rsidRPr="00D47DAC">
              <w:t>.Т</w:t>
            </w:r>
            <w:proofErr w:type="gramEnd"/>
            <w:r w:rsidRPr="00D47DAC">
              <w:t>ула, ул.Баженова, д.40а, секция А</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ул.Дементьева, д.31, секция  А</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ул.Дементьева, д.33, секция  А</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ул.Кирова, д.149</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ул.Кирова, д.161</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ул.Кирова, д.176</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ул.Кирова, д.182</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д.8а</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д.24/25</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д.124</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д.126</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д.128</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д.132</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д.134</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д.136</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ул.Мартеновская, д.21/12</w:t>
            </w:r>
            <w:r>
              <w:t>,</w:t>
            </w:r>
          </w:p>
          <w:p w:rsidR="00C22CD9" w:rsidRPr="00A76C1A" w:rsidRDefault="003B2CFB" w:rsidP="003B2CFB">
            <w:pPr>
              <w:tabs>
                <w:tab w:val="center" w:pos="4677"/>
              </w:tabs>
              <w:autoSpaceDE w:val="0"/>
              <w:spacing w:after="0"/>
              <w:jc w:val="center"/>
            </w:pPr>
            <w:r w:rsidRPr="00D47DAC">
              <w:t>г</w:t>
            </w:r>
            <w:proofErr w:type="gramStart"/>
            <w:r w:rsidRPr="00D47DAC">
              <w:t>.Т</w:t>
            </w:r>
            <w:proofErr w:type="gramEnd"/>
            <w:r w:rsidRPr="00D47DAC">
              <w:t>ула, ул.Металлургов, д.31</w:t>
            </w:r>
            <w: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727"/>
            <w:bookmarkEnd w:id="100"/>
            <w:r w:rsidRPr="00A76C1A">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3B2CFB" w:rsidRPr="00D47DAC">
              <w:rPr>
                <w:bCs/>
                <w:color w:val="000000"/>
              </w:rPr>
              <w:t>31 486 389,75</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Default="00F22DB3" w:rsidP="007B3D60">
            <w:pPr>
              <w:suppressAutoHyphens w:val="0"/>
              <w:autoSpaceDE w:val="0"/>
              <w:autoSpaceDN w:val="0"/>
              <w:adjustRightInd w:val="0"/>
              <w:spacing w:after="0"/>
              <w:rPr>
                <w:kern w:val="0"/>
                <w:lang w:eastAsia="ru-RU"/>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p w:rsidR="003B2CFB" w:rsidRDefault="003B2CFB" w:rsidP="007B3D60">
            <w:pPr>
              <w:suppressAutoHyphens w:val="0"/>
              <w:autoSpaceDE w:val="0"/>
              <w:autoSpaceDN w:val="0"/>
              <w:adjustRightInd w:val="0"/>
              <w:spacing w:after="0"/>
              <w:rPr>
                <w:kern w:val="0"/>
                <w:lang w:eastAsia="ru-RU"/>
              </w:rPr>
            </w:pPr>
          </w:p>
          <w:p w:rsidR="003B2CFB" w:rsidRPr="007B3D60" w:rsidRDefault="003B2CFB" w:rsidP="007B3D60">
            <w:pPr>
              <w:suppressAutoHyphens w:val="0"/>
              <w:autoSpaceDE w:val="0"/>
              <w:autoSpaceDN w:val="0"/>
              <w:adjustRightInd w:val="0"/>
              <w:spacing w:after="0"/>
              <w:rPr>
                <w:b/>
              </w:rPr>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lastRenderedPageBreak/>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137E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 xml:space="preserve">7) отсутствие сведений об участниках конкурса в реестре недобросовестных поставщиков, предусмотренном статьей 5 </w:t>
            </w:r>
            <w:r w:rsidRPr="007B3D60">
              <w:lastRenderedPageBreak/>
              <w:t>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w:t>
                  </w:r>
                  <w:r w:rsidRPr="00A76C1A">
                    <w:rPr>
                      <w:rFonts w:eastAsia="Calibri"/>
                    </w:rPr>
                    <w:lastRenderedPageBreak/>
                    <w:t>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lastRenderedPageBreak/>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 xml:space="preserve">Место подачи заявок на участие в конкурсе Фонд капитального ремонта Тульской области, расположенный по адресу: </w:t>
            </w:r>
            <w:proofErr w:type="gramStart"/>
            <w:r w:rsidRPr="00A76C1A">
              <w:rPr>
                <w:kern w:val="0"/>
                <w:lang w:eastAsia="ru-RU"/>
              </w:rPr>
              <w:t>г</w:t>
            </w:r>
            <w:proofErr w:type="gramEnd"/>
            <w:r w:rsidRPr="00A76C1A">
              <w:rPr>
                <w:kern w:val="0"/>
                <w:lang w:eastAsia="ru-RU"/>
              </w:rPr>
              <w:t>.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t>9.15.</w:t>
            </w:r>
          </w:p>
        </w:tc>
        <w:tc>
          <w:tcPr>
            <w:tcW w:w="7104" w:type="dxa"/>
            <w:shd w:val="clear" w:color="auto" w:fill="auto"/>
          </w:tcPr>
          <w:p w:rsidR="00C22CD9"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137E59" w:rsidRDefault="00137E59" w:rsidP="00C22CD9">
            <w:pPr>
              <w:spacing w:after="120"/>
            </w:pPr>
            <w:r w:rsidRPr="00762F16">
              <w:rPr>
                <w:lang w:eastAsia="ru-RU"/>
              </w:rPr>
              <w:t xml:space="preserve">Размер обеспечения заявки составляет </w:t>
            </w:r>
            <w:r>
              <w:rPr>
                <w:lang w:eastAsia="ru-RU"/>
              </w:rPr>
              <w:t>1</w:t>
            </w:r>
            <w:r w:rsidRPr="00762F16">
              <w:rPr>
                <w:lang w:eastAsia="ru-RU"/>
              </w:rPr>
              <w:t xml:space="preserve">% начальной (максимальной) цены договора и составляет </w:t>
            </w:r>
            <w:r w:rsidR="003B2CFB" w:rsidRPr="00D47DAC">
              <w:rPr>
                <w:color w:val="000000"/>
              </w:rPr>
              <w:t>314 863,90</w:t>
            </w:r>
            <w:r w:rsidRPr="00762F16">
              <w:rPr>
                <w:color w:val="000000"/>
              </w:rPr>
              <w:t xml:space="preserve"> </w:t>
            </w:r>
            <w:r w:rsidRPr="00762F16">
              <w:t>руб.</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 xml:space="preserve">Банк:    Отделение № 8604 Сбербанка России </w:t>
            </w:r>
            <w:proofErr w:type="gramStart"/>
            <w:r w:rsidRPr="00A76C1A">
              <w:t>г</w:t>
            </w:r>
            <w:proofErr w:type="gramEnd"/>
            <w:r w:rsidRPr="00A76C1A">
              <w:t>. Тула</w:t>
            </w:r>
          </w:p>
          <w:p w:rsidR="00C22CD9" w:rsidRPr="00A76C1A" w:rsidRDefault="00C22CD9" w:rsidP="001C07DD">
            <w:pPr>
              <w:spacing w:after="0"/>
            </w:pPr>
            <w:r w:rsidRPr="00A76C1A">
              <w:t>БИК:    047003608</w:t>
            </w:r>
          </w:p>
          <w:p w:rsidR="00C22CD9" w:rsidRPr="00A76C1A" w:rsidRDefault="00C22CD9" w:rsidP="001C07DD">
            <w:pPr>
              <w:spacing w:after="0"/>
            </w:pPr>
            <w:proofErr w:type="spellStart"/>
            <w:proofErr w:type="gramStart"/>
            <w:r w:rsidRPr="00A76C1A">
              <w:t>р</w:t>
            </w:r>
            <w:proofErr w:type="spellEnd"/>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B2CFB">
            <w:pPr>
              <w:spacing w:after="0"/>
            </w:pPr>
            <w:r w:rsidRPr="00A76C1A">
              <w:t xml:space="preserve">Реестровый номер </w:t>
            </w:r>
            <w:r w:rsidRPr="00DA243E">
              <w:t xml:space="preserve">торгов – </w:t>
            </w:r>
            <w:r w:rsidR="00DB3FDC">
              <w:t>2</w:t>
            </w:r>
            <w:r w:rsidR="00137E59">
              <w:t>5</w:t>
            </w:r>
            <w:r w:rsidR="003B2CFB">
              <w:t>9</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137E59" w:rsidRPr="00762F16" w:rsidRDefault="00137E59" w:rsidP="00137E59">
            <w:pPr>
              <w:autoSpaceDE w:val="0"/>
              <w:autoSpaceDN w:val="0"/>
              <w:adjustRightInd w:val="0"/>
              <w:spacing w:after="0"/>
              <w:rPr>
                <w:spacing w:val="2"/>
                <w:lang w:eastAsia="ru-RU"/>
              </w:rPr>
            </w:pPr>
            <w:r w:rsidRPr="00762F16">
              <w:rPr>
                <w:lang w:eastAsia="ru-RU"/>
              </w:rPr>
              <w:t xml:space="preserve">Размер обеспечения исполнения договора составляет </w:t>
            </w:r>
            <w:r>
              <w:rPr>
                <w:lang w:eastAsia="ru-RU"/>
              </w:rPr>
              <w:t>12</w:t>
            </w:r>
            <w:r w:rsidRPr="00762F16">
              <w:rPr>
                <w:lang w:eastAsia="ru-RU"/>
              </w:rPr>
              <w:t xml:space="preserve">% начальной (максимальной) цены договора и составляет </w:t>
            </w:r>
            <w:r w:rsidR="003B2CFB" w:rsidRPr="00D47DAC">
              <w:rPr>
                <w:color w:val="000000"/>
              </w:rPr>
              <w:t>3 778 366,77</w:t>
            </w:r>
            <w:r w:rsidRPr="00762F16">
              <w:rPr>
                <w:color w:val="000000"/>
              </w:rPr>
              <w:t xml:space="preserve"> </w:t>
            </w:r>
            <w:r w:rsidRPr="00762F16">
              <w:t>руб.</w:t>
            </w:r>
          </w:p>
          <w:p w:rsidR="00137E59" w:rsidRPr="00762F16" w:rsidRDefault="00137E59" w:rsidP="00137E59">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3B2CFB" w:rsidRPr="00D47DAC">
              <w:rPr>
                <w:color w:val="000000"/>
              </w:rPr>
              <w:t xml:space="preserve">1 574 319,49 </w:t>
            </w:r>
            <w:r w:rsidR="00B64537" w:rsidRPr="00762F16">
              <w:rPr>
                <w:color w:val="000000"/>
              </w:rPr>
              <w:t xml:space="preserve"> </w:t>
            </w:r>
            <w:r w:rsidRPr="00762F16">
              <w:rPr>
                <w:color w:val="000000"/>
              </w:rPr>
              <w:t xml:space="preserve"> </w:t>
            </w:r>
            <w:r w:rsidRPr="00762F16">
              <w:t>руб.</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proofErr w:type="gramStart"/>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w:t>
            </w:r>
            <w:r w:rsidRPr="00A76C1A">
              <w:rPr>
                <w:spacing w:val="2"/>
                <w:lang w:eastAsia="ru-RU"/>
              </w:rPr>
              <w:lastRenderedPageBreak/>
              <w:t xml:space="preserve">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roofErr w:type="gramEnd"/>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spellStart"/>
            <w:proofErr w:type="gramStart"/>
            <w:r w:rsidRPr="00E41EEF">
              <w:t>р</w:t>
            </w:r>
            <w:proofErr w:type="spellEnd"/>
            <w:proofErr w:type="gramEnd"/>
            <w:r w:rsidRPr="00E41EEF">
              <w:t>/с: 40603810666000000037</w:t>
            </w:r>
          </w:p>
          <w:p w:rsidR="00C22CD9" w:rsidRPr="00E41EEF" w:rsidRDefault="00C22CD9" w:rsidP="00AE7307">
            <w:pPr>
              <w:spacing w:after="0"/>
            </w:pPr>
            <w:r w:rsidRPr="00E41EEF">
              <w:t xml:space="preserve">Банк:    Отделение № 8604 Сбербанка России </w:t>
            </w:r>
            <w:proofErr w:type="gramStart"/>
            <w:r w:rsidRPr="00E41EEF">
              <w:t>г</w:t>
            </w:r>
            <w:proofErr w:type="gramEnd"/>
            <w:r w:rsidRPr="00E41EEF">
              <w:t>.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137E59">
              <w:t>5</w:t>
            </w:r>
            <w:r w:rsidR="003B2CFB">
              <w:t>9</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 xml:space="preserve">0 часов по московскому времени по адресу: Тульская область, </w:t>
            </w:r>
            <w:proofErr w:type="gramStart"/>
            <w:r w:rsidRPr="00A76C1A">
              <w:t>г</w:t>
            </w:r>
            <w:proofErr w:type="gramEnd"/>
            <w:r w:rsidRPr="00A76C1A">
              <w:t>.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390681">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w:t>
                  </w:r>
                  <w:r w:rsidRPr="00E41EEF">
                    <w:lastRenderedPageBreak/>
                    <w:t>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lastRenderedPageBreak/>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Pr="00A76C1A" w:rsidRDefault="00C22CD9" w:rsidP="00A90CFD">
            <w:pPr>
              <w:suppressAutoHyphens w:val="0"/>
              <w:autoSpaceDE w:val="0"/>
              <w:autoSpaceDN w:val="0"/>
              <w:adjustRightInd w:val="0"/>
              <w:spacing w:after="0"/>
              <w:rPr>
                <w:kern w:val="0"/>
                <w:lang w:eastAsia="ru-RU"/>
              </w:rPr>
            </w:pPr>
            <w:r w:rsidRPr="00A76C1A">
              <w:rPr>
                <w:kern w:val="0"/>
                <w:lang w:eastAsia="ru-RU"/>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918137"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Default="00C22CD9" w:rsidP="00A90CFD">
            <w:pPr>
              <w:suppressAutoHyphens w:val="0"/>
              <w:spacing w:after="0"/>
              <w:rPr>
                <w:rFonts w:eastAsia="MS Mincho"/>
                <w:kern w:val="0"/>
                <w:lang w:eastAsia="ja-JP"/>
              </w:rPr>
            </w:pPr>
            <w:r w:rsidRPr="00A76C1A">
              <w:rPr>
                <w:rFonts w:eastAsia="MS Mincho"/>
                <w:kern w:val="0"/>
                <w:lang w:eastAsia="ja-JP"/>
              </w:rPr>
              <w:lastRenderedPageBreak/>
              <w:t>Каждой заявке будут присуждаться значения баллов исходя из следующих показателей:</w:t>
            </w:r>
          </w:p>
          <w:p w:rsidR="00B64537" w:rsidRPr="00A76C1A" w:rsidRDefault="00B64537"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 xml:space="preserve">В случае отсутствия в составе заявки документов, </w:t>
            </w:r>
            <w:r w:rsidRPr="00E41EEF">
              <w:rPr>
                <w:rFonts w:eastAsia="MS Mincho"/>
                <w:kern w:val="0"/>
                <w:lang w:eastAsia="ja-JP"/>
              </w:rPr>
              <w:lastRenderedPageBreak/>
              <w:t>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 xml:space="preserve">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критерию «Квалификация участника торгов, в том числе опыт оказания услуг и (или) </w:t>
            </w:r>
            <w:r w:rsidRPr="00A76C1A">
              <w:rPr>
                <w:rFonts w:eastAsia="MS Mincho"/>
                <w:kern w:val="0"/>
                <w:lang w:eastAsia="ja-JP"/>
              </w:rPr>
              <w:lastRenderedPageBreak/>
              <w:t>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на участие в конкурсе по </w:t>
            </w:r>
            <w:proofErr w:type="spellStart"/>
            <w:r w:rsidRPr="00A76C1A">
              <w:rPr>
                <w:rFonts w:eastAsia="MS Mincho"/>
                <w:kern w:val="0"/>
                <w:lang w:eastAsia="ja-JP"/>
              </w:rPr>
              <w:t>k-му</w:t>
            </w:r>
            <w:proofErr w:type="spellEnd"/>
            <w:r w:rsidRPr="00A76C1A">
              <w:rPr>
                <w:rFonts w:eastAsia="MS Mincho"/>
                <w:kern w:val="0"/>
                <w:lang w:eastAsia="ja-JP"/>
              </w:rPr>
              <w:t xml:space="preserve"> показателю, где </w:t>
            </w:r>
            <w:proofErr w:type="spellStart"/>
            <w:r w:rsidRPr="00A76C1A">
              <w:rPr>
                <w:rFonts w:eastAsia="MS Mincho"/>
                <w:kern w:val="0"/>
                <w:lang w:eastAsia="ja-JP"/>
              </w:rPr>
              <w:t>k</w:t>
            </w:r>
            <w:proofErr w:type="spellEnd"/>
            <w:r w:rsidRPr="00A76C1A">
              <w:rPr>
                <w:rFonts w:eastAsia="MS Mincho"/>
                <w:kern w:val="0"/>
                <w:lang w:eastAsia="ja-JP"/>
              </w:rPr>
              <w:t xml:space="preserve">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w:t>
            </w:r>
            <w:proofErr w:type="gramStart"/>
            <w:r w:rsidRPr="00383630">
              <w:rPr>
                <w:lang w:eastAsia="ru-RU"/>
              </w:rPr>
              <w:t>г</w:t>
            </w:r>
            <w:proofErr w:type="gramEnd"/>
            <w:r w:rsidRPr="00383630">
              <w:rPr>
                <w:lang w:eastAsia="ru-RU"/>
              </w:rPr>
              <w:t xml:space="preserve">.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xml:space="preserve">№№ </w:t>
            </w:r>
            <w:proofErr w:type="spellStart"/>
            <w:r w:rsidRPr="00A76C1A">
              <w:rPr>
                <w:b/>
                <w:bCs/>
              </w:rPr>
              <w:t>п\</w:t>
            </w:r>
            <w:proofErr w:type="gramStart"/>
            <w:r w:rsidRPr="00A76C1A">
              <w:rPr>
                <w:b/>
                <w:bCs/>
              </w:rPr>
              <w:t>п</w:t>
            </w:r>
            <w:proofErr w:type="spellEnd"/>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 xml:space="preserve">15. К настоящей заявке на участие в конкурсе прилагаются документы, являющиеся неотъемлемой частью нашей заявки на участие в конкурсе, согласно описи - на </w:t>
      </w:r>
      <w:proofErr w:type="spellStart"/>
      <w:r w:rsidRPr="00A76C1A">
        <w:t>_____стр</w:t>
      </w:r>
      <w:proofErr w:type="spellEnd"/>
      <w:r w:rsidRPr="00A76C1A">
        <w:t>.</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8" w:name="_Ref166330580"/>
    </w:p>
    <w:bookmarkEnd w:id="118"/>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lastRenderedPageBreak/>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5000" w:type="pct"/>
        <w:tblLook w:val="04A0"/>
      </w:tblPr>
      <w:tblGrid>
        <w:gridCol w:w="564"/>
        <w:gridCol w:w="3224"/>
        <w:gridCol w:w="2908"/>
        <w:gridCol w:w="2875"/>
      </w:tblGrid>
      <w:tr w:rsidR="003B2CFB" w:rsidRPr="003B2CFB" w:rsidTr="003B2CFB">
        <w:trPr>
          <w:trHeight w:val="81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 xml:space="preserve">№ </w:t>
            </w:r>
            <w:proofErr w:type="spellStart"/>
            <w:proofErr w:type="gramStart"/>
            <w:r w:rsidRPr="003B2CFB">
              <w:rPr>
                <w:b/>
                <w:bCs/>
                <w:color w:val="000000"/>
                <w:kern w:val="0"/>
                <w:lang w:eastAsia="ru-RU"/>
              </w:rPr>
              <w:t>п</w:t>
            </w:r>
            <w:proofErr w:type="spellEnd"/>
            <w:proofErr w:type="gramEnd"/>
            <w:r w:rsidRPr="003B2CFB">
              <w:rPr>
                <w:b/>
                <w:bCs/>
                <w:color w:val="000000"/>
                <w:kern w:val="0"/>
                <w:lang w:eastAsia="ru-RU"/>
              </w:rPr>
              <w:t>/</w:t>
            </w:r>
            <w:proofErr w:type="spellStart"/>
            <w:r w:rsidRPr="003B2CFB">
              <w:rPr>
                <w:b/>
                <w:bCs/>
                <w:color w:val="000000"/>
                <w:kern w:val="0"/>
                <w:lang w:eastAsia="ru-RU"/>
              </w:rPr>
              <w:t>п</w:t>
            </w:r>
            <w:proofErr w:type="spellEnd"/>
          </w:p>
        </w:tc>
        <w:tc>
          <w:tcPr>
            <w:tcW w:w="1684" w:type="pct"/>
            <w:tcBorders>
              <w:top w:val="single" w:sz="4" w:space="0" w:color="auto"/>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Адрес МКД</w:t>
            </w:r>
          </w:p>
        </w:tc>
        <w:tc>
          <w:tcPr>
            <w:tcW w:w="1519" w:type="pct"/>
            <w:tcBorders>
              <w:top w:val="single" w:sz="4" w:space="0" w:color="auto"/>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Виды работ</w:t>
            </w:r>
          </w:p>
        </w:tc>
        <w:tc>
          <w:tcPr>
            <w:tcW w:w="1502" w:type="pct"/>
            <w:tcBorders>
              <w:top w:val="single" w:sz="4" w:space="0" w:color="auto"/>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Стоимость, руб.</w:t>
            </w:r>
          </w:p>
        </w:tc>
      </w:tr>
      <w:tr w:rsidR="003B2CFB" w:rsidRPr="003B2CFB" w:rsidTr="003B2CFB">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ул.Баженова, д.34/40, секция А</w:t>
            </w: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1 340 358,79</w:t>
            </w:r>
          </w:p>
        </w:tc>
      </w:tr>
      <w:tr w:rsidR="003B2CFB" w:rsidRPr="003B2CFB" w:rsidTr="003B2CFB">
        <w:trPr>
          <w:trHeight w:val="750"/>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264 329,00</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945 131,16</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2 549 818,95</w:t>
            </w:r>
          </w:p>
        </w:tc>
      </w:tr>
      <w:tr w:rsidR="003B2CFB" w:rsidRPr="003B2CFB" w:rsidTr="003B2CFB">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2</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ул.Баженова, д.36, секция А</w:t>
            </w: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596 150,94</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532 382,32</w:t>
            </w:r>
          </w:p>
        </w:tc>
      </w:tr>
      <w:tr w:rsidR="003B2CFB" w:rsidRPr="003B2CFB" w:rsidTr="003B2CFB">
        <w:trPr>
          <w:trHeight w:val="750"/>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121 262,00</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1 249 795,26</w:t>
            </w:r>
          </w:p>
        </w:tc>
      </w:tr>
      <w:tr w:rsidR="003B2CFB" w:rsidRPr="003B2CFB" w:rsidTr="003B2CFB">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3</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ул.Баженова, д.38</w:t>
            </w: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500 502,04</w:t>
            </w:r>
          </w:p>
        </w:tc>
      </w:tr>
      <w:tr w:rsidR="003B2CFB" w:rsidRPr="003B2CFB" w:rsidTr="003B2CFB">
        <w:trPr>
          <w:trHeight w:val="750"/>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121 262,00</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621 764,04</w:t>
            </w:r>
          </w:p>
        </w:tc>
      </w:tr>
      <w:tr w:rsidR="003B2CFB" w:rsidRPr="003B2CFB" w:rsidTr="003B2CFB">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4</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ул.Баженова, д.40а, секция А</w:t>
            </w: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553 456,58</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779 279,43</w:t>
            </w:r>
          </w:p>
        </w:tc>
      </w:tr>
      <w:tr w:rsidR="003B2CFB" w:rsidRPr="003B2CFB" w:rsidTr="003B2CFB">
        <w:trPr>
          <w:trHeight w:val="750"/>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111 685,00</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1 444 421,01</w:t>
            </w:r>
          </w:p>
        </w:tc>
      </w:tr>
      <w:tr w:rsidR="003B2CFB" w:rsidRPr="003B2CFB" w:rsidTr="003B2CFB">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5</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ул.Дементьева, д.31, секция  А</w:t>
            </w: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121 262,00</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656 018,64</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463 758,04</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1 241 038,68</w:t>
            </w:r>
          </w:p>
        </w:tc>
      </w:tr>
      <w:tr w:rsidR="003B2CFB" w:rsidRPr="003B2CFB" w:rsidTr="003B2CFB">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6</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ул.Дементьева, д.33, секция  А</w:t>
            </w: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798 909,56</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463 758,04</w:t>
            </w:r>
          </w:p>
        </w:tc>
      </w:tr>
      <w:tr w:rsidR="003B2CFB" w:rsidRPr="003B2CFB" w:rsidTr="003B2CFB">
        <w:trPr>
          <w:trHeight w:val="750"/>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121 262,00</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1 383 929,60</w:t>
            </w:r>
          </w:p>
        </w:tc>
      </w:tr>
      <w:tr w:rsidR="003B2CFB" w:rsidRPr="003B2CFB" w:rsidTr="003B2CFB">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7</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ул.Кирова, д.182</w:t>
            </w: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1 766 116,20</w:t>
            </w:r>
          </w:p>
        </w:tc>
      </w:tr>
      <w:tr w:rsidR="003B2CFB" w:rsidRPr="003B2CFB" w:rsidTr="003B2CFB">
        <w:trPr>
          <w:trHeight w:val="750"/>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444 092,00</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1 601 353,22</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3 811 561,42</w:t>
            </w:r>
          </w:p>
        </w:tc>
      </w:tr>
      <w:tr w:rsidR="003B2CFB" w:rsidRPr="003B2CFB" w:rsidTr="003B2CFB">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8</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ул.Кирова, д.161</w:t>
            </w: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403 552,00</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2 159 128,60</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2 562 680,60</w:t>
            </w:r>
          </w:p>
        </w:tc>
      </w:tr>
      <w:tr w:rsidR="003B2CFB" w:rsidRPr="003B2CFB" w:rsidTr="003B2CFB">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9</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ул.Кирова, д.149</w:t>
            </w: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1 199 949,79</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838 498,76</w:t>
            </w:r>
          </w:p>
        </w:tc>
      </w:tr>
      <w:tr w:rsidR="003B2CFB" w:rsidRPr="003B2CFB" w:rsidTr="003B2CFB">
        <w:trPr>
          <w:trHeight w:val="750"/>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229 938,00</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2 268 386,55</w:t>
            </w:r>
          </w:p>
        </w:tc>
      </w:tr>
      <w:tr w:rsidR="003B2CFB" w:rsidRPr="003B2CFB" w:rsidTr="003B2CFB">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10</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ул.Кирова, д.176</w:t>
            </w: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301 384,00</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1 703 237,96</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1 180 626,29</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3 185 248,25</w:t>
            </w:r>
          </w:p>
        </w:tc>
      </w:tr>
      <w:tr w:rsidR="003B2CFB" w:rsidRPr="003B2CFB" w:rsidTr="003B2CFB">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11</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ул.Кутузова, д.8а</w:t>
            </w: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424 175,00</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1 533 516,73</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1 957 691,73</w:t>
            </w:r>
          </w:p>
        </w:tc>
      </w:tr>
      <w:tr w:rsidR="003B2CFB" w:rsidRPr="003B2CFB" w:rsidTr="003B2CFB">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12</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ул.Кутузова, д.136</w:t>
            </w: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409 205,29</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422 368,62</w:t>
            </w:r>
          </w:p>
        </w:tc>
      </w:tr>
      <w:tr w:rsidR="003B2CFB" w:rsidRPr="003B2CFB" w:rsidTr="003B2CFB">
        <w:trPr>
          <w:trHeight w:val="750"/>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73 951,00</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905 524,91</w:t>
            </w:r>
          </w:p>
        </w:tc>
      </w:tr>
      <w:tr w:rsidR="003B2CFB" w:rsidRPr="003B2CFB" w:rsidTr="003B2CFB">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13</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ул.Кутузова, д.134</w:t>
            </w: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409 205,29</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422 368,62</w:t>
            </w:r>
          </w:p>
        </w:tc>
      </w:tr>
      <w:tr w:rsidR="003B2CFB" w:rsidRPr="003B2CFB" w:rsidTr="003B2CFB">
        <w:trPr>
          <w:trHeight w:val="750"/>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74 360,00</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905 933,91</w:t>
            </w:r>
          </w:p>
        </w:tc>
      </w:tr>
      <w:tr w:rsidR="003B2CFB" w:rsidRPr="003B2CFB" w:rsidTr="003B2CFB">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14</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ул.Кутузова, д.124</w:t>
            </w: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132 040,00</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535 264,91</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667 304,91</w:t>
            </w:r>
          </w:p>
        </w:tc>
      </w:tr>
      <w:tr w:rsidR="003B2CFB" w:rsidRPr="003B2CFB" w:rsidTr="003B2CFB">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15</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ул.Кутузова, д.132</w:t>
            </w: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410 113,72</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362 860,88</w:t>
            </w:r>
          </w:p>
        </w:tc>
      </w:tr>
      <w:tr w:rsidR="003B2CFB" w:rsidRPr="003B2CFB" w:rsidTr="003B2CFB">
        <w:trPr>
          <w:trHeight w:val="750"/>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73 951,00</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846 925,60</w:t>
            </w:r>
          </w:p>
        </w:tc>
      </w:tr>
      <w:tr w:rsidR="003B2CFB" w:rsidRPr="003B2CFB" w:rsidTr="003B2CFB">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16</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ул.Кутузова, д.24/25</w:t>
            </w: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159 462,00</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985 872,42</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795 331,29</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1 940 665,71</w:t>
            </w:r>
          </w:p>
        </w:tc>
      </w:tr>
      <w:tr w:rsidR="003B2CFB" w:rsidRPr="003B2CFB" w:rsidTr="003B2CFB">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17</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ул.Кутузова, д.126</w:t>
            </w: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132 040,00</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853 633,50</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985 673,50</w:t>
            </w:r>
          </w:p>
        </w:tc>
      </w:tr>
      <w:tr w:rsidR="003B2CFB" w:rsidRPr="003B2CFB" w:rsidTr="003B2CFB">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18</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ул.Кутузова, д.128</w:t>
            </w: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630 932,91</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132 040,00</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762 972,91</w:t>
            </w:r>
          </w:p>
        </w:tc>
      </w:tr>
      <w:tr w:rsidR="003B2CFB" w:rsidRPr="003B2CFB" w:rsidTr="003B2CFB">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19</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ул.Мартеновская, д.21/12</w:t>
            </w: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504 054,04</w:t>
            </w:r>
          </w:p>
        </w:tc>
      </w:tr>
      <w:tr w:rsidR="003B2CFB" w:rsidRPr="003B2CFB" w:rsidTr="003B2CFB">
        <w:trPr>
          <w:trHeight w:val="750"/>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132 040,00</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636 094,04</w:t>
            </w:r>
          </w:p>
        </w:tc>
      </w:tr>
      <w:tr w:rsidR="003B2CFB" w:rsidRPr="003B2CFB" w:rsidTr="003B2CFB">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20</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г</w:t>
            </w:r>
            <w:proofErr w:type="gramStart"/>
            <w:r w:rsidRPr="003B2CFB">
              <w:rPr>
                <w:color w:val="000000"/>
                <w:kern w:val="0"/>
                <w:lang w:eastAsia="ru-RU"/>
              </w:rPr>
              <w:t>.Т</w:t>
            </w:r>
            <w:proofErr w:type="gramEnd"/>
            <w:r w:rsidRPr="003B2CFB">
              <w:rPr>
                <w:color w:val="000000"/>
                <w:kern w:val="0"/>
                <w:lang w:eastAsia="ru-RU"/>
              </w:rPr>
              <w:t>ула, ул.Металлургов, д.31</w:t>
            </w:r>
          </w:p>
        </w:tc>
        <w:tc>
          <w:tcPr>
            <w:tcW w:w="1519" w:type="pct"/>
            <w:tcBorders>
              <w:top w:val="nil"/>
              <w:left w:val="nil"/>
              <w:bottom w:val="single" w:sz="4" w:space="0" w:color="auto"/>
              <w:right w:val="single" w:sz="4" w:space="0" w:color="auto"/>
            </w:tcBorders>
            <w:shd w:val="clear" w:color="auto" w:fill="auto"/>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121 315,00</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918 058,89</w:t>
            </w:r>
          </w:p>
        </w:tc>
      </w:tr>
      <w:tr w:rsidR="003B2CFB" w:rsidRPr="003B2CFB" w:rsidTr="003B2CFB">
        <w:trPr>
          <w:trHeight w:val="375"/>
        </w:trPr>
        <w:tc>
          <w:tcPr>
            <w:tcW w:w="295"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3B2CFB" w:rsidRPr="003B2CFB" w:rsidRDefault="003B2CFB" w:rsidP="003B2CFB">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color w:val="000000"/>
                <w:kern w:val="0"/>
                <w:lang w:eastAsia="ru-RU"/>
              </w:rPr>
            </w:pPr>
            <w:r w:rsidRPr="003B2CFB">
              <w:rPr>
                <w:color w:val="000000"/>
                <w:kern w:val="0"/>
                <w:lang w:eastAsia="ru-RU"/>
              </w:rPr>
              <w:t>519 584,28</w:t>
            </w:r>
          </w:p>
        </w:tc>
      </w:tr>
      <w:tr w:rsidR="003B2CFB" w:rsidRPr="003B2CFB" w:rsidTr="003B2CFB">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1 558 958,17</w:t>
            </w:r>
          </w:p>
        </w:tc>
      </w:tr>
      <w:tr w:rsidR="003B2CFB" w:rsidRPr="003B2CFB" w:rsidTr="003B2CFB">
        <w:trPr>
          <w:trHeight w:val="510"/>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ИТОГО</w:t>
            </w:r>
          </w:p>
        </w:tc>
        <w:tc>
          <w:tcPr>
            <w:tcW w:w="1502" w:type="pct"/>
            <w:tcBorders>
              <w:top w:val="nil"/>
              <w:left w:val="nil"/>
              <w:bottom w:val="single" w:sz="4" w:space="0" w:color="auto"/>
              <w:right w:val="single" w:sz="4" w:space="0" w:color="auto"/>
            </w:tcBorders>
            <w:shd w:val="clear" w:color="auto" w:fill="auto"/>
            <w:noWrap/>
            <w:vAlign w:val="center"/>
            <w:hideMark/>
          </w:tcPr>
          <w:p w:rsidR="003B2CFB" w:rsidRPr="003B2CFB" w:rsidRDefault="003B2CFB" w:rsidP="003B2CFB">
            <w:pPr>
              <w:suppressAutoHyphens w:val="0"/>
              <w:spacing w:after="0"/>
              <w:jc w:val="center"/>
              <w:rPr>
                <w:b/>
                <w:bCs/>
                <w:color w:val="000000"/>
                <w:kern w:val="0"/>
                <w:lang w:eastAsia="ru-RU"/>
              </w:rPr>
            </w:pPr>
            <w:r w:rsidRPr="003B2CFB">
              <w:rPr>
                <w:b/>
                <w:bCs/>
                <w:color w:val="000000"/>
                <w:kern w:val="0"/>
                <w:lang w:eastAsia="ru-RU"/>
              </w:rPr>
              <w:t>31 486 389,75</w:t>
            </w:r>
          </w:p>
        </w:tc>
      </w:tr>
    </w:tbl>
    <w:p w:rsidR="00137E59" w:rsidRDefault="00137E59" w:rsidP="00137E59">
      <w:pPr>
        <w:spacing w:after="120"/>
      </w:pPr>
    </w:p>
    <w:p w:rsidR="003B2CFB" w:rsidRDefault="003B2CFB" w:rsidP="00137E59">
      <w:pPr>
        <w:spacing w:after="120"/>
      </w:pPr>
    </w:p>
    <w:p w:rsidR="003B2CFB" w:rsidRDefault="003B2CFB" w:rsidP="00137E59">
      <w:pPr>
        <w:spacing w:after="120"/>
      </w:pPr>
    </w:p>
    <w:p w:rsidR="00B64537" w:rsidRDefault="00B64537" w:rsidP="00137E59">
      <w:pPr>
        <w:spacing w:after="120"/>
      </w:pPr>
    </w:p>
    <w:p w:rsidR="00B64537" w:rsidRDefault="00B64537" w:rsidP="00137E59">
      <w:pPr>
        <w:spacing w:after="120"/>
      </w:pPr>
    </w:p>
    <w:p w:rsidR="00137E59" w:rsidRDefault="00137E59" w:rsidP="00137E59">
      <w:pPr>
        <w:spacing w:after="120"/>
      </w:pPr>
    </w:p>
    <w:p w:rsidR="00137E59" w:rsidRPr="00A76C1A" w:rsidRDefault="00137E59" w:rsidP="00137E59">
      <w:pPr>
        <w:spacing w:after="120"/>
      </w:pPr>
    </w:p>
    <w:p w:rsidR="0070570A" w:rsidRDefault="0070570A" w:rsidP="0070570A">
      <w:pPr>
        <w:spacing w:after="120"/>
      </w:pPr>
    </w:p>
    <w:p w:rsidR="001C1456" w:rsidRDefault="001C1456" w:rsidP="001C1456">
      <w:bookmarkStart w:id="129"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Pr="00A479C0" w:rsidRDefault="00A479C0" w:rsidP="00A479C0">
      <w:pPr>
        <w:pStyle w:val="1"/>
        <w:keepNext w:val="0"/>
        <w:tabs>
          <w:tab w:val="left" w:pos="3331"/>
        </w:tabs>
        <w:spacing w:before="0" w:after="120"/>
        <w:rPr>
          <w:rFonts w:ascii="Times New Roman" w:hAnsi="Times New Roman"/>
          <w:b w:val="0"/>
          <w:sz w:val="24"/>
          <w:szCs w:val="24"/>
        </w:rPr>
      </w:pPr>
      <w:r>
        <w:tab/>
      </w:r>
    </w:p>
    <w:p w:rsidR="001C026D" w:rsidRPr="00A479C0" w:rsidRDefault="001C026D" w:rsidP="005A76C5">
      <w:pPr>
        <w:pStyle w:val="1"/>
        <w:keepNext w:val="0"/>
        <w:spacing w:before="0" w:after="120"/>
        <w:jc w:val="center"/>
        <w:rPr>
          <w:sz w:val="24"/>
          <w:szCs w:val="24"/>
        </w:rPr>
      </w:pPr>
      <w:r w:rsidRPr="00A479C0">
        <w:rPr>
          <w:sz w:val="24"/>
          <w:szCs w:val="24"/>
        </w:rPr>
        <w:t xml:space="preserve">ЧАСТЬ VI. ПРОЕКТ </w:t>
      </w:r>
      <w:bookmarkEnd w:id="128"/>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proofErr w:type="spellStart"/>
      <w:r w:rsidRPr="006602C7">
        <w:rPr>
          <w:sz w:val="22"/>
          <w:szCs w:val="22"/>
        </w:rPr>
        <w:t>_________года</w:t>
      </w:r>
      <w:proofErr w:type="spellEnd"/>
      <w:r w:rsidRPr="006602C7">
        <w:rPr>
          <w:sz w:val="22"/>
          <w:szCs w:val="22"/>
        </w:rPr>
        <w:t xml:space="preserve"> №___</w:t>
      </w:r>
      <w:r>
        <w:rPr>
          <w:sz w:val="22"/>
          <w:szCs w:val="22"/>
        </w:rPr>
        <w:t xml:space="preserve">, реестровый номер </w:t>
      </w:r>
      <w:proofErr w:type="spellStart"/>
      <w:r>
        <w:rPr>
          <w:sz w:val="22"/>
          <w:szCs w:val="22"/>
        </w:rPr>
        <w:t>торгов_____</w:t>
      </w:r>
      <w:proofErr w:type="spellEnd"/>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w:t>
      </w:r>
      <w:proofErr w:type="spellStart"/>
      <w:r>
        <w:rPr>
          <w:rFonts w:eastAsia="Calibri"/>
          <w:sz w:val="22"/>
          <w:szCs w:val="22"/>
        </w:rPr>
        <w:t>ГОСТами</w:t>
      </w:r>
      <w:proofErr w:type="spellEnd"/>
      <w:r>
        <w:rPr>
          <w:rFonts w:eastAsia="Calibri"/>
          <w:sz w:val="22"/>
          <w:szCs w:val="22"/>
        </w:rPr>
        <w:t xml:space="preserve">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w:t>
      </w:r>
      <w:proofErr w:type="spellStart"/>
      <w:r w:rsidRPr="00D7387C">
        <w:rPr>
          <w:spacing w:val="2"/>
          <w:sz w:val="22"/>
          <w:szCs w:val="22"/>
        </w:rPr>
        <w:t>общедомовое</w:t>
      </w:r>
      <w:proofErr w:type="spellEnd"/>
      <w:r w:rsidRPr="00D7387C">
        <w:rPr>
          <w:spacing w:val="2"/>
          <w:sz w:val="22"/>
          <w:szCs w:val="22"/>
        </w:rPr>
        <w:t xml:space="preserve">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w:t>
      </w:r>
      <w:proofErr w:type="spellStart"/>
      <w:r w:rsidRPr="00D7387C">
        <w:rPr>
          <w:spacing w:val="2"/>
          <w:sz w:val="22"/>
          <w:szCs w:val="22"/>
        </w:rPr>
        <w:t>счет-фактурой</w:t>
      </w:r>
      <w:proofErr w:type="spellEnd"/>
      <w:r w:rsidRPr="00D7387C">
        <w:rPr>
          <w:spacing w:val="2"/>
          <w:sz w:val="22"/>
          <w:szCs w:val="22"/>
        </w:rPr>
        <w:t>.</w:t>
      </w:r>
      <w:proofErr w:type="gramEnd"/>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w:t>
      </w:r>
      <w:proofErr w:type="spellStart"/>
      <w:r w:rsidRPr="006602C7">
        <w:rPr>
          <w:rFonts w:eastAsia="Calibri"/>
          <w:sz w:val="22"/>
          <w:szCs w:val="22"/>
        </w:rPr>
        <w:t>x</w:t>
      </w:r>
      <w:proofErr w:type="spellEnd"/>
      <w:r w:rsidRPr="006602C7">
        <w:rPr>
          <w:rFonts w:eastAsia="Calibri"/>
          <w:sz w:val="22"/>
          <w:szCs w:val="22"/>
        </w:rPr>
        <w:t xml:space="preserve">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w:t>
      </w:r>
      <w:proofErr w:type="spellStart"/>
      <w:r w:rsidRPr="006602C7">
        <w:rPr>
          <w:rFonts w:eastAsia="Calibri"/>
          <w:sz w:val="22"/>
          <w:szCs w:val="22"/>
        </w:rPr>
        <w:t>х</w:t>
      </w:r>
      <w:proofErr w:type="spellEnd"/>
      <w:r w:rsidRPr="006602C7">
        <w:rPr>
          <w:rFonts w:eastAsia="Calibri"/>
          <w:sz w:val="22"/>
          <w:szCs w:val="22"/>
        </w:rPr>
        <w:t xml:space="preserve">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w:t>
      </w:r>
      <w:proofErr w:type="spellStart"/>
      <w:r w:rsidRPr="006602C7">
        <w:rPr>
          <w:rFonts w:eastAsia="Calibri"/>
          <w:sz w:val="22"/>
          <w:szCs w:val="22"/>
        </w:rPr>
        <w:t>х</w:t>
      </w:r>
      <w:proofErr w:type="spellEnd"/>
      <w:r w:rsidRPr="006602C7">
        <w:rPr>
          <w:rFonts w:eastAsia="Calibri"/>
          <w:sz w:val="22"/>
          <w:szCs w:val="22"/>
        </w:rPr>
        <w:t xml:space="preserve">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6602C7">
        <w:rPr>
          <w:sz w:val="22"/>
          <w:szCs w:val="22"/>
        </w:rPr>
        <w:t>аффилированными</w:t>
      </w:r>
      <w:proofErr w:type="spellEnd"/>
      <w:r w:rsidRPr="006602C7">
        <w:rPr>
          <w:sz w:val="22"/>
          <w:szCs w:val="22"/>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 xml:space="preserve">ремонтно-строительных работ </w:t>
      </w:r>
      <w:proofErr w:type="spellStart"/>
      <w:r w:rsidRPr="00BE38FE">
        <w:rPr>
          <w:sz w:val="22"/>
          <w:szCs w:val="22"/>
        </w:rPr>
        <w:t>___________________тыс</w:t>
      </w:r>
      <w:proofErr w:type="spellEnd"/>
      <w:r w:rsidRPr="00BE38FE">
        <w:rPr>
          <w:sz w:val="22"/>
          <w:szCs w:val="22"/>
        </w:rPr>
        <w:t>.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spellStart"/>
            <w:proofErr w:type="gramStart"/>
            <w:r w:rsidRPr="006B2834">
              <w:rPr>
                <w:b/>
                <w:bCs/>
                <w:color w:val="000000"/>
                <w:sz w:val="22"/>
                <w:szCs w:val="22"/>
              </w:rPr>
              <w:t>п</w:t>
            </w:r>
            <w:proofErr w:type="spellEnd"/>
            <w:proofErr w:type="gramEnd"/>
            <w:r w:rsidRPr="006B2834">
              <w:rPr>
                <w:b/>
                <w:bCs/>
                <w:color w:val="000000"/>
                <w:sz w:val="22"/>
                <w:szCs w:val="22"/>
              </w:rPr>
              <w:t>/</w:t>
            </w:r>
            <w:proofErr w:type="spellStart"/>
            <w:r w:rsidRPr="006B2834">
              <w:rPr>
                <w:b/>
                <w:bCs/>
                <w:color w:val="000000"/>
                <w:sz w:val="22"/>
                <w:szCs w:val="22"/>
              </w:rPr>
              <w:t>п</w:t>
            </w:r>
            <w:proofErr w:type="spellEnd"/>
            <w:r w:rsidRPr="006B2834">
              <w:rPr>
                <w:b/>
                <w:bCs/>
                <w:color w:val="000000"/>
                <w:sz w:val="22"/>
                <w:szCs w:val="22"/>
              </w:rPr>
              <w:t xml:space="preserve">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r w:rsidRPr="006B2834">
              <w:rPr>
                <w:b/>
                <w:bCs/>
                <w:color w:val="000000"/>
                <w:sz w:val="18"/>
                <w:szCs w:val="18"/>
              </w:rPr>
              <w:t>нения</w:t>
            </w:r>
            <w:proofErr w:type="spellEnd"/>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 xml:space="preserve">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w:t>
      </w:r>
      <w:proofErr w:type="spellStart"/>
      <w:r w:rsidRPr="000C53DA">
        <w:rPr>
          <w:color w:val="000000"/>
          <w:sz w:val="22"/>
          <w:szCs w:val="22"/>
        </w:rPr>
        <w:t>общедомовое</w:t>
      </w:r>
      <w:proofErr w:type="spellEnd"/>
      <w:r w:rsidRPr="000C53DA">
        <w:rPr>
          <w:color w:val="000000"/>
          <w:sz w:val="22"/>
          <w:szCs w:val="22"/>
        </w:rPr>
        <w:t xml:space="preserve">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является гарантом (</w:t>
      </w:r>
      <w:proofErr w:type="spellStart"/>
      <w:r w:rsidRPr="00120658">
        <w:rPr>
          <w:color w:val="000000"/>
          <w:sz w:val="22"/>
          <w:szCs w:val="22"/>
        </w:rPr>
        <w:t>далее-гарант</w:t>
      </w:r>
      <w:proofErr w:type="spellEnd"/>
      <w:r w:rsidRPr="00120658">
        <w:rPr>
          <w:color w:val="000000"/>
          <w:sz w:val="22"/>
          <w:szCs w:val="22"/>
        </w:rPr>
        <w:t xml:space="preserve">)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w:t>
      </w:r>
      <w:proofErr w:type="spellStart"/>
      <w:r w:rsidRPr="00120658">
        <w:rPr>
          <w:color w:val="000000"/>
          <w:sz w:val="22"/>
          <w:szCs w:val="22"/>
        </w:rPr>
        <w:t>____________________своих</w:t>
      </w:r>
      <w:proofErr w:type="spellEnd"/>
      <w:r w:rsidRPr="00120658">
        <w:rPr>
          <w:color w:val="000000"/>
          <w:sz w:val="22"/>
          <w:szCs w:val="22"/>
        </w:rPr>
        <w:t xml:space="preserve">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865942" w:rsidRPr="00C22CD9"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65942" w:rsidRDefault="00865942" w:rsidP="00865942">
      <w:pPr>
        <w:tabs>
          <w:tab w:val="left" w:pos="7238"/>
        </w:tabs>
        <w:spacing w:after="0"/>
        <w:jc w:val="left"/>
      </w:pPr>
      <w:r>
        <w:tab/>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ул.Баженова, д.34/40, секция А</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ул.Баженова, д.36, секция А</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ул.Баженова, д.38</w:t>
      </w:r>
      <w:r>
        <w:t>,</w:t>
      </w:r>
    </w:p>
    <w:p w:rsidR="003B2CFB" w:rsidRPr="00D47DAC" w:rsidRDefault="003B2CFB" w:rsidP="003B2CFB">
      <w:pPr>
        <w:tabs>
          <w:tab w:val="center" w:pos="4677"/>
        </w:tabs>
        <w:autoSpaceDE w:val="0"/>
        <w:spacing w:after="0"/>
        <w:jc w:val="center"/>
      </w:pPr>
      <w:r w:rsidRPr="00D47DAC">
        <w:t>г</w:t>
      </w:r>
      <w:proofErr w:type="gramStart"/>
      <w:r w:rsidRPr="00D47DAC">
        <w:t>.Т</w:t>
      </w:r>
      <w:proofErr w:type="gramEnd"/>
      <w:r w:rsidRPr="00D47DAC">
        <w:t>ула, ул.Баженова, д.40а, секция А</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ул.Дементьева, д.31, секция  А</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ул.Дементьева, д.33, секция  А</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ул.Кирова, д.149</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ул.Кирова, д.161</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ул.Кирова, д.176</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ул.Кирова, д.182</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д.8а</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д.24/25</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д.124</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д.126</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д.128</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д.132</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д.134</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ул.Кутузова, д.136</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ул.Мартеновская, д.21/12</w:t>
      </w:r>
      <w:r>
        <w:t>,</w:t>
      </w:r>
    </w:p>
    <w:p w:rsidR="003B2CFB" w:rsidRDefault="003B2CFB" w:rsidP="003B2CFB">
      <w:pPr>
        <w:tabs>
          <w:tab w:val="center" w:pos="4677"/>
        </w:tabs>
        <w:autoSpaceDE w:val="0"/>
        <w:spacing w:after="0"/>
        <w:jc w:val="center"/>
      </w:pPr>
      <w:r w:rsidRPr="00D47DAC">
        <w:t>г</w:t>
      </w:r>
      <w:proofErr w:type="gramStart"/>
      <w:r w:rsidRPr="00D47DAC">
        <w:t>.Т</w:t>
      </w:r>
      <w:proofErr w:type="gramEnd"/>
      <w:r w:rsidRPr="00D47DAC">
        <w:t>ула, ул.Металлургов, д.31</w:t>
      </w:r>
      <w:r>
        <w:t>.</w:t>
      </w:r>
    </w:p>
    <w:p w:rsidR="00B64537" w:rsidRPr="00390681" w:rsidRDefault="00B64537" w:rsidP="00B6453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3B2CFB" w:rsidP="00FD59AF">
      <w:pPr>
        <w:ind w:firstLine="709"/>
        <w:jc w:val="center"/>
        <w:rPr>
          <w:color w:val="000000"/>
        </w:rPr>
      </w:pPr>
      <w:r w:rsidRPr="00D47DAC">
        <w:rPr>
          <w:bCs/>
          <w:color w:val="000000"/>
        </w:rPr>
        <w:t>31 486 389,75</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E59" w:rsidRDefault="00137E59">
      <w:pPr>
        <w:spacing w:after="0"/>
      </w:pPr>
      <w:r>
        <w:separator/>
      </w:r>
    </w:p>
  </w:endnote>
  <w:endnote w:type="continuationSeparator" w:id="0">
    <w:p w:rsidR="00137E59" w:rsidRDefault="00137E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137E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Pr="00394EB9" w:rsidRDefault="00137E59"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137E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E59" w:rsidRDefault="00137E59">
      <w:pPr>
        <w:spacing w:after="0"/>
      </w:pPr>
      <w:r>
        <w:separator/>
      </w:r>
    </w:p>
  </w:footnote>
  <w:footnote w:type="continuationSeparator" w:id="0">
    <w:p w:rsidR="00137E59" w:rsidRDefault="00137E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DC57FD" w:rsidP="001C026D">
    <w:pPr>
      <w:jc w:val="center"/>
    </w:pPr>
    <w:fldSimple w:instr="PAGE   \* MERGEFORMAT">
      <w:r w:rsidR="003B2CFB">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137E5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DC57FD" w:rsidP="001C026D">
    <w:pPr>
      <w:jc w:val="center"/>
    </w:pPr>
    <w:fldSimple w:instr="PAGE   \* MERGEFORMAT">
      <w:r w:rsidR="003B2CFB">
        <w:rPr>
          <w:noProof/>
        </w:rPr>
        <w:t>54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137E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0681"/>
    <w:rsid w:val="00396935"/>
    <w:rsid w:val="003A03AA"/>
    <w:rsid w:val="003A1986"/>
    <w:rsid w:val="003B2CFB"/>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0007"/>
    <w:rsid w:val="00AC19A5"/>
    <w:rsid w:val="00AC1DE9"/>
    <w:rsid w:val="00AC443E"/>
    <w:rsid w:val="00AC4A80"/>
    <w:rsid w:val="00AD181F"/>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15E4B-7F1F-4600-BF51-6F00CAD1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20608</Words>
  <Characters>117469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3</cp:revision>
  <cp:lastPrinted>2015-12-28T06:46:00Z</cp:lastPrinted>
  <dcterms:created xsi:type="dcterms:W3CDTF">2015-12-29T15:10:00Z</dcterms:created>
  <dcterms:modified xsi:type="dcterms:W3CDTF">2015-12-29T15:16:00Z</dcterms:modified>
</cp:coreProperties>
</file>