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22CD9">
        <w:t>24</w:t>
      </w:r>
      <w:r>
        <w:t>» сентября 2015 год</w:t>
      </w:r>
    </w:p>
    <w:p w:rsidR="00A06F60" w:rsidRPr="00FE405D" w:rsidRDefault="00705B58" w:rsidP="00A06F60">
      <w:pPr>
        <w:spacing w:after="0"/>
        <w:jc w:val="right"/>
      </w:pPr>
      <w:r>
        <w:t>Реестровый номер торгов: 1</w:t>
      </w:r>
      <w:r w:rsidR="00C22CD9">
        <w:t>2</w:t>
      </w:r>
      <w:r>
        <w:t>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C22CD9" w:rsidRPr="00C22CD9" w:rsidRDefault="00C22CD9" w:rsidP="00C22CD9">
      <w:pPr>
        <w:spacing w:after="0"/>
        <w:jc w:val="center"/>
      </w:pP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2</w:t>
      </w: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4</w:t>
      </w:r>
    </w:p>
    <w:p w:rsidR="00C22CD9" w:rsidRPr="00C22CD9" w:rsidRDefault="00C22CD9" w:rsidP="00C22CD9">
      <w:pPr>
        <w:spacing w:after="0"/>
        <w:jc w:val="center"/>
        <w:rPr>
          <w:color w:val="000000"/>
        </w:rPr>
      </w:pPr>
      <w:r w:rsidRPr="00C22CD9">
        <w:rPr>
          <w:color w:val="000000"/>
        </w:rPr>
        <w:t>п. Заокский, пр. Первомайский, д. 1</w:t>
      </w:r>
    </w:p>
    <w:p w:rsidR="001C026D" w:rsidRPr="00C22CD9" w:rsidRDefault="00C22CD9" w:rsidP="00C22CD9">
      <w:pPr>
        <w:jc w:val="center"/>
      </w:pPr>
      <w:r w:rsidRPr="00C22CD9">
        <w:rPr>
          <w:color w:val="000000"/>
        </w:rPr>
        <w:t xml:space="preserve">п. </w:t>
      </w:r>
      <w:proofErr w:type="gramStart"/>
      <w:r w:rsidRPr="00C22CD9">
        <w:rPr>
          <w:color w:val="000000"/>
        </w:rPr>
        <w:t>Заокский</w:t>
      </w:r>
      <w:proofErr w:type="gramEnd"/>
      <w:r w:rsidRPr="00C22CD9">
        <w:rPr>
          <w:color w:val="000000"/>
        </w:rPr>
        <w:t>, ул. Ленина, д. 43</w:t>
      </w:r>
    </w:p>
    <w:p w:rsidR="00A06F60" w:rsidRPr="00FE405D" w:rsidRDefault="00A06F60" w:rsidP="00A06F60">
      <w:pPr>
        <w:spacing w:after="0"/>
        <w:jc w:val="center"/>
      </w:pPr>
    </w:p>
    <w:p w:rsidR="00D551A5"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23B13" w:rsidP="001C026D">
      <w:pPr>
        <w:pStyle w:val="1f1"/>
        <w:rPr>
          <w:b w:val="0"/>
          <w:noProof/>
          <w:sz w:val="24"/>
          <w:szCs w:val="24"/>
        </w:rPr>
      </w:pPr>
      <w:r w:rsidRPr="00F23B13">
        <w:rPr>
          <w:sz w:val="24"/>
          <w:szCs w:val="24"/>
        </w:rPr>
        <w:fldChar w:fldCharType="begin"/>
      </w:r>
      <w:r w:rsidR="001C026D" w:rsidRPr="00A76C1A">
        <w:rPr>
          <w:sz w:val="24"/>
          <w:szCs w:val="24"/>
        </w:rPr>
        <w:instrText xml:space="preserve"> TOC </w:instrText>
      </w:r>
      <w:r w:rsidRPr="00F23B1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23B1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23B13" w:rsidRPr="00A76C1A">
        <w:rPr>
          <w:bCs/>
        </w:rPr>
        <w:fldChar w:fldCharType="begin"/>
      </w:r>
      <w:r w:rsidRPr="00A76C1A">
        <w:rPr>
          <w:bCs/>
        </w:rPr>
        <w:instrText xml:space="preserve"> REF _Ref166267456 \h  \* MERGEFORMAT </w:instrText>
      </w:r>
      <w:r w:rsidR="00F23B13" w:rsidRPr="00A76C1A">
        <w:rPr>
          <w:bCs/>
        </w:rPr>
      </w:r>
      <w:r w:rsidR="00F23B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23B13" w:rsidRPr="00A76C1A">
        <w:rPr>
          <w:bCs/>
        </w:rPr>
        <w:fldChar w:fldCharType="begin"/>
      </w:r>
      <w:r w:rsidRPr="00A76C1A">
        <w:rPr>
          <w:bCs/>
        </w:rPr>
        <w:instrText xml:space="preserve"> REF _Ref166267457 \h  \* MERGEFORMAT </w:instrText>
      </w:r>
      <w:r w:rsidR="00F23B13" w:rsidRPr="00A76C1A">
        <w:rPr>
          <w:bCs/>
        </w:rPr>
      </w:r>
      <w:r w:rsidR="00F23B1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23B13" w:rsidRPr="00A76C1A">
        <w:rPr>
          <w:bCs/>
        </w:rPr>
        <w:fldChar w:fldCharType="begin"/>
      </w:r>
      <w:r w:rsidRPr="00A76C1A">
        <w:rPr>
          <w:bCs/>
        </w:rPr>
        <w:instrText xml:space="preserve"> REF _Ref166267727 \h  \* MERGEFORMAT </w:instrText>
      </w:r>
      <w:r w:rsidR="00F23B13" w:rsidRPr="00A76C1A">
        <w:rPr>
          <w:bCs/>
        </w:rPr>
      </w:r>
      <w:r w:rsidR="00F23B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23B13" w:rsidRPr="00A76C1A">
        <w:rPr>
          <w:bCs/>
        </w:rPr>
        <w:fldChar w:fldCharType="begin"/>
      </w:r>
      <w:r w:rsidRPr="00A76C1A">
        <w:rPr>
          <w:bCs/>
        </w:rPr>
        <w:instrText xml:space="preserve"> REF _Ref166311076 \h  \* MERGEFORMAT </w:instrText>
      </w:r>
      <w:r w:rsidR="00F23B13" w:rsidRPr="00A76C1A">
        <w:rPr>
          <w:bCs/>
        </w:rPr>
      </w:r>
      <w:r w:rsidR="00F23B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23B13" w:rsidRPr="00A76C1A">
        <w:rPr>
          <w:bCs/>
        </w:rPr>
        <w:fldChar w:fldCharType="begin"/>
      </w:r>
      <w:r w:rsidRPr="00A76C1A">
        <w:rPr>
          <w:bCs/>
        </w:rPr>
        <w:instrText xml:space="preserve"> REF _Ref166311380 \h  \* MERGEFORMAT </w:instrText>
      </w:r>
      <w:r w:rsidR="00F23B13" w:rsidRPr="00A76C1A">
        <w:rPr>
          <w:bCs/>
        </w:rPr>
      </w:r>
      <w:r w:rsidR="00F23B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23B13" w:rsidRPr="00A76C1A">
        <w:rPr>
          <w:bCs/>
        </w:rPr>
        <w:fldChar w:fldCharType="begin"/>
      </w:r>
      <w:r w:rsidRPr="00A76C1A">
        <w:rPr>
          <w:bCs/>
        </w:rPr>
        <w:instrText xml:space="preserve"> REF _Ref166312503 \h  \* MERGEFORMAT </w:instrText>
      </w:r>
      <w:r w:rsidR="00F23B13" w:rsidRPr="00A76C1A">
        <w:rPr>
          <w:bCs/>
        </w:rPr>
      </w:r>
      <w:r w:rsidR="00F23B1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23B13" w:rsidRPr="00A76C1A">
        <w:rPr>
          <w:bCs/>
        </w:rPr>
        <w:fldChar w:fldCharType="begin"/>
      </w:r>
      <w:r w:rsidRPr="00A76C1A">
        <w:rPr>
          <w:bCs/>
        </w:rPr>
        <w:instrText xml:space="preserve"> REF _Ref166267727 \h  \* MERGEFORMAT </w:instrText>
      </w:r>
      <w:r w:rsidR="00F23B13" w:rsidRPr="00A76C1A">
        <w:rPr>
          <w:bCs/>
        </w:rPr>
      </w:r>
      <w:r w:rsidR="00F23B1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23B13" w:rsidRPr="00856C74">
        <w:rPr>
          <w:bCs/>
        </w:rPr>
        <w:fldChar w:fldCharType="begin"/>
      </w:r>
      <w:r w:rsidRPr="00856C74">
        <w:rPr>
          <w:bCs/>
        </w:rPr>
        <w:instrText xml:space="preserve"> REF _Ref166315159 \h  \* MERGEFORMAT </w:instrText>
      </w:r>
      <w:r w:rsidR="00F23B13" w:rsidRPr="00856C74">
        <w:rPr>
          <w:bCs/>
        </w:rPr>
      </w:r>
      <w:r w:rsidR="00F23B13" w:rsidRPr="00856C74">
        <w:rPr>
          <w:bCs/>
        </w:rPr>
        <w:fldChar w:fldCharType="end"/>
      </w:r>
      <w:r w:rsidRPr="00856C74">
        <w:rPr>
          <w:bCs/>
        </w:rPr>
        <w:t xml:space="preserve"> и 9.17.</w:t>
      </w:r>
      <w:r w:rsidR="00F23B13" w:rsidRPr="00856C74">
        <w:rPr>
          <w:bCs/>
        </w:rPr>
        <w:fldChar w:fldCharType="begin"/>
      </w:r>
      <w:r w:rsidRPr="00856C74">
        <w:rPr>
          <w:bCs/>
        </w:rPr>
        <w:instrText xml:space="preserve"> REF _Ref166315233 \h  \* MERGEFORMAT </w:instrText>
      </w:r>
      <w:r w:rsidR="00F23B13" w:rsidRPr="00856C74">
        <w:rPr>
          <w:bCs/>
        </w:rPr>
      </w:r>
      <w:r w:rsidR="00F23B1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23B13" w:rsidRPr="00EC7F64">
        <w:rPr>
          <w:kern w:val="0"/>
          <w:lang w:eastAsia="ru-RU"/>
        </w:rPr>
        <w:fldChar w:fldCharType="begin"/>
      </w:r>
      <w:r w:rsidRPr="00EC7F64">
        <w:rPr>
          <w:kern w:val="0"/>
          <w:lang w:eastAsia="ru-RU"/>
        </w:rPr>
        <w:instrText xml:space="preserve"> REF _Ref166314817 \h  \* MERGEFORMAT </w:instrText>
      </w:r>
      <w:r w:rsidR="00F23B13" w:rsidRPr="00EC7F64">
        <w:rPr>
          <w:kern w:val="0"/>
          <w:lang w:eastAsia="ru-RU"/>
        </w:rPr>
      </w:r>
      <w:r w:rsidR="00F23B1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2</w:t>
                  </w: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4</w:t>
                  </w:r>
                </w:p>
                <w:p w:rsidR="00C22CD9" w:rsidRPr="00C22CD9" w:rsidRDefault="00C22CD9" w:rsidP="00C22CD9">
                  <w:pPr>
                    <w:spacing w:after="0"/>
                    <w:jc w:val="center"/>
                    <w:rPr>
                      <w:color w:val="000000"/>
                    </w:rPr>
                  </w:pPr>
                  <w:r w:rsidRPr="00C22CD9">
                    <w:rPr>
                      <w:color w:val="000000"/>
                    </w:rPr>
                    <w:t>п. Заокский, пр. Первомайский, д. 1</w:t>
                  </w:r>
                </w:p>
                <w:p w:rsidR="00C22CD9" w:rsidRPr="00A76C1A" w:rsidRDefault="00C22CD9" w:rsidP="00C22CD9">
                  <w:pPr>
                    <w:jc w:val="center"/>
                  </w:pPr>
                  <w:r w:rsidRPr="00C22CD9">
                    <w:rPr>
                      <w:color w:val="000000"/>
                    </w:rPr>
                    <w:t xml:space="preserve">п. </w:t>
                  </w:r>
                  <w:proofErr w:type="gramStart"/>
                  <w:r w:rsidRPr="00C22CD9">
                    <w:rPr>
                      <w:color w:val="000000"/>
                    </w:rPr>
                    <w:t>Заокский</w:t>
                  </w:r>
                  <w:proofErr w:type="gramEnd"/>
                  <w:r w:rsidRPr="00C22CD9">
                    <w:rPr>
                      <w:color w:val="000000"/>
                    </w:rPr>
                    <w:t>, ул. Ленина, д. 43</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C22CD9" w:rsidP="00D551A5">
                  <w:pPr>
                    <w:pStyle w:val="28"/>
                    <w:spacing w:after="0" w:line="240" w:lineRule="auto"/>
                    <w:ind w:left="0"/>
                    <w:jc w:val="center"/>
                  </w:pPr>
                  <w:r>
                    <w:t>4</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2</w:t>
            </w:r>
          </w:p>
          <w:p w:rsidR="00C22CD9" w:rsidRPr="00C22CD9" w:rsidRDefault="00C22CD9" w:rsidP="00C22CD9">
            <w:pPr>
              <w:spacing w:after="0"/>
              <w:jc w:val="center"/>
              <w:rPr>
                <w:color w:val="000000"/>
              </w:rPr>
            </w:pPr>
            <w:r w:rsidRPr="00C22CD9">
              <w:rPr>
                <w:color w:val="000000"/>
              </w:rPr>
              <w:t xml:space="preserve">п. </w:t>
            </w:r>
            <w:proofErr w:type="spellStart"/>
            <w:r w:rsidRPr="00C22CD9">
              <w:rPr>
                <w:color w:val="000000"/>
              </w:rPr>
              <w:t>Ланьшинский</w:t>
            </w:r>
            <w:proofErr w:type="spellEnd"/>
            <w:r w:rsidRPr="00C22CD9">
              <w:rPr>
                <w:color w:val="000000"/>
              </w:rPr>
              <w:t>, ул. Московская, д. 4</w:t>
            </w:r>
          </w:p>
          <w:p w:rsidR="00C22CD9" w:rsidRPr="00C22CD9" w:rsidRDefault="00C22CD9" w:rsidP="00C22CD9">
            <w:pPr>
              <w:spacing w:after="0"/>
              <w:jc w:val="center"/>
              <w:rPr>
                <w:color w:val="000000"/>
              </w:rPr>
            </w:pPr>
            <w:r w:rsidRPr="00C22CD9">
              <w:rPr>
                <w:color w:val="000000"/>
              </w:rPr>
              <w:t>п. Заокский, пр. Первомайский, д. 1</w:t>
            </w:r>
          </w:p>
          <w:p w:rsidR="00C22CD9" w:rsidRDefault="00C22CD9" w:rsidP="00C22CD9">
            <w:pPr>
              <w:keepNext/>
              <w:keepLines/>
              <w:widowControl w:val="0"/>
              <w:suppressLineNumbers/>
              <w:spacing w:after="0"/>
              <w:jc w:val="center"/>
              <w:rPr>
                <w:color w:val="000000"/>
              </w:rPr>
            </w:pPr>
            <w:r w:rsidRPr="00C22CD9">
              <w:rPr>
                <w:color w:val="000000"/>
              </w:rPr>
              <w:t xml:space="preserve">п. </w:t>
            </w:r>
            <w:proofErr w:type="gramStart"/>
            <w:r w:rsidRPr="00C22CD9">
              <w:rPr>
                <w:color w:val="000000"/>
              </w:rPr>
              <w:t>Заокский</w:t>
            </w:r>
            <w:proofErr w:type="gramEnd"/>
            <w:r w:rsidRPr="00C22CD9">
              <w:rPr>
                <w:color w:val="000000"/>
              </w:rPr>
              <w:t>, ул. Ленина, д. 43</w:t>
            </w:r>
          </w:p>
          <w:p w:rsidR="00C22CD9" w:rsidRPr="00A76C1A" w:rsidRDefault="00C22CD9" w:rsidP="00C22CD9">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22CD9" w:rsidRPr="00C22CD9">
              <w:rPr>
                <w:color w:val="000000"/>
              </w:rPr>
              <w:t>5 717 246,83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w:t>
            </w:r>
            <w:r w:rsidRPr="007B3D60">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22CD9">
              <w:t>24</w:t>
            </w:r>
            <w:r w:rsidR="002330FD">
              <w:t xml:space="preserve"> </w:t>
            </w:r>
            <w:r w:rsidR="00705B58">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22CD9">
              <w:t>28</w:t>
            </w:r>
            <w:r w:rsidR="002330FD">
              <w:t xml:space="preserve"> </w:t>
            </w:r>
            <w:r w:rsidR="00AD61C9">
              <w:t>сентября</w:t>
            </w:r>
            <w:r w:rsidRPr="00A76C1A">
              <w:t xml:space="preserve"> 201</w:t>
            </w:r>
            <w:r w:rsidR="00D303AA">
              <w:t>5</w:t>
            </w:r>
            <w:r w:rsidRPr="00A76C1A">
              <w:t xml:space="preserve"> года.</w:t>
            </w:r>
          </w:p>
          <w:p w:rsidR="00F22DB3" w:rsidRPr="00A76C1A" w:rsidRDefault="00DF2348" w:rsidP="00C22CD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C22CD9">
              <w:t>28</w:t>
            </w:r>
            <w:r w:rsidR="00AD61C9">
              <w:t xml:space="preserve"> 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22CD9">
              <w:t>24</w:t>
            </w:r>
            <w:r w:rsidR="00AD61C9">
              <w:t xml:space="preserve"> 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22CD9">
              <w:t>30</w:t>
            </w:r>
            <w:r w:rsidR="00AD61C9">
              <w:t xml:space="preserve"> 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2A3CBA" w:rsidRDefault="002A3CBA" w:rsidP="00C22CD9">
            <w:pPr>
              <w:spacing w:after="120"/>
              <w:rPr>
                <w:lang w:val="en-US"/>
              </w:rPr>
            </w:pPr>
            <w:r w:rsidRPr="002A3CBA">
              <w:rPr>
                <w:lang w:eastAsia="ru-RU"/>
              </w:rPr>
              <w:t xml:space="preserve">Размер обеспечения заявки составляет 5% начальной (максимальной) цены договора и составляет </w:t>
            </w:r>
            <w:r w:rsidRPr="002A3CBA">
              <w:rPr>
                <w:color w:val="000000"/>
              </w:rPr>
              <w:t xml:space="preserve">285862,34 </w:t>
            </w:r>
            <w:r w:rsidRPr="002A3CBA">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A76C1A" w:rsidRDefault="00C22CD9" w:rsidP="00C22CD9">
            <w:pPr>
              <w:rPr>
                <w:b/>
              </w:rPr>
            </w:pPr>
            <w:r w:rsidRPr="00A76C1A">
              <w:rPr>
                <w:rStyle w:val="a7"/>
              </w:rPr>
              <w:t xml:space="preserve">Получатель: </w:t>
            </w:r>
            <w:r w:rsidRPr="00A76C1A">
              <w:rPr>
                <w:rStyle w:val="a7"/>
                <w:b w:val="0"/>
              </w:rPr>
              <w:t>Фонд капитального ремонта Тульской области</w:t>
            </w:r>
          </w:p>
          <w:p w:rsidR="00C22CD9" w:rsidRPr="00A76C1A" w:rsidRDefault="00C22CD9" w:rsidP="00C22CD9">
            <w:r w:rsidRPr="00A76C1A">
              <w:lastRenderedPageBreak/>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spellStart"/>
            <w:proofErr w:type="gramStart"/>
            <w:r w:rsidRPr="00A76C1A">
              <w:t>р</w:t>
            </w:r>
            <w:proofErr w:type="spellEnd"/>
            <w:proofErr w:type="gramEnd"/>
            <w:r w:rsidRPr="00A76C1A">
              <w:t>/с: 40603810666000000037</w:t>
            </w:r>
          </w:p>
          <w:p w:rsidR="00C22CD9" w:rsidRPr="00A76C1A" w:rsidRDefault="00C22CD9" w:rsidP="00C22CD9">
            <w:proofErr w:type="gramStart"/>
            <w:r w:rsidRPr="00A76C1A">
              <w:t>к</w:t>
            </w:r>
            <w:proofErr w:type="gramEnd"/>
            <w:r w:rsidRPr="00A76C1A">
              <w:t>/счет: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2A3CBA">
            <w:r w:rsidRPr="00A76C1A">
              <w:t xml:space="preserve">Реестровый номер </w:t>
            </w:r>
            <w:r w:rsidRPr="00DA243E">
              <w:t xml:space="preserve">торгов – </w:t>
            </w:r>
            <w:r w:rsidR="002A3CBA">
              <w:rPr>
                <w:lang w:val="en-US"/>
              </w:rPr>
              <w:t>122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2A3CBA" w:rsidRDefault="002A3CBA" w:rsidP="002A3CBA">
            <w:pPr>
              <w:autoSpaceDE w:val="0"/>
              <w:autoSpaceDN w:val="0"/>
              <w:adjustRightInd w:val="0"/>
              <w:spacing w:after="0" w:line="276" w:lineRule="auto"/>
              <w:rPr>
                <w:spacing w:val="2"/>
                <w:lang w:eastAsia="ru-RU"/>
              </w:rPr>
            </w:pPr>
            <w:r w:rsidRPr="002A3CBA">
              <w:rPr>
                <w:lang w:eastAsia="ru-RU"/>
              </w:rPr>
              <w:t>Размер обеспечения исполнения договора составляет 15% начальной (максимальной) цены договора и составляет 857 587,02</w:t>
            </w:r>
            <w:r w:rsidRPr="002A3CBA">
              <w:rPr>
                <w:color w:val="000000"/>
              </w:rPr>
              <w:t xml:space="preserve"> </w:t>
            </w:r>
            <w:r w:rsidRPr="002A3CBA">
              <w:t>руб.</w:t>
            </w:r>
          </w:p>
          <w:p w:rsidR="002A3CBA" w:rsidRPr="002A3CBA" w:rsidRDefault="002A3CBA" w:rsidP="002A3CBA">
            <w:pPr>
              <w:autoSpaceDE w:val="0"/>
              <w:autoSpaceDN w:val="0"/>
              <w:adjustRightInd w:val="0"/>
              <w:spacing w:after="0" w:line="276" w:lineRule="auto"/>
            </w:pPr>
            <w:r w:rsidRPr="002A3CBA">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Pr="002A3CBA">
              <w:rPr>
                <w:color w:val="000000"/>
              </w:rPr>
              <w:t xml:space="preserve">285 862,34 </w:t>
            </w:r>
            <w:r w:rsidRPr="002A3CBA">
              <w:t>руб.</w:t>
            </w:r>
          </w:p>
          <w:p w:rsidR="002A3CBA" w:rsidRPr="002A3CBA" w:rsidRDefault="002A3CBA" w:rsidP="002A3CBA">
            <w:pPr>
              <w:spacing w:after="0" w:line="276" w:lineRule="auto"/>
            </w:pPr>
            <w:r w:rsidRPr="002A3CB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2A3CBA" w:rsidRDefault="00C22CD9" w:rsidP="002A3CBA">
            <w:pPr>
              <w:suppressAutoHyphens w:val="0"/>
              <w:autoSpaceDE w:val="0"/>
              <w:autoSpaceDN w:val="0"/>
              <w:adjustRightInd w:val="0"/>
              <w:spacing w:after="0" w:line="276" w:lineRule="auto"/>
              <w:rPr>
                <w:kern w:val="0"/>
                <w:lang w:val="en-US"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proofErr w:type="spellStart"/>
            <w:proofErr w:type="gramStart"/>
            <w:r w:rsidRPr="00E41EEF">
              <w:t>р</w:t>
            </w:r>
            <w:proofErr w:type="spellEnd"/>
            <w:proofErr w:type="gramEnd"/>
            <w:r w:rsidRPr="00E41EEF">
              <w:t>/с: 40603810666000000037</w:t>
            </w:r>
          </w:p>
          <w:p w:rsidR="00C22CD9" w:rsidRPr="00E41EEF" w:rsidRDefault="00C22CD9" w:rsidP="002A3CBA">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2A3CBA">
            <w:pPr>
              <w:spacing w:after="0" w:line="276" w:lineRule="auto"/>
            </w:pPr>
            <w:r w:rsidRPr="00E41EEF">
              <w:t>БИК:    047003608</w:t>
            </w:r>
          </w:p>
          <w:p w:rsidR="00C22CD9" w:rsidRPr="00E41EEF" w:rsidRDefault="00C22CD9" w:rsidP="002A3CBA">
            <w:pPr>
              <w:spacing w:after="0" w:line="276" w:lineRule="auto"/>
            </w:pPr>
            <w:proofErr w:type="gramStart"/>
            <w:r w:rsidRPr="00E41EEF">
              <w:t>к</w:t>
            </w:r>
            <w:proofErr w:type="gramEnd"/>
            <w:r w:rsidRPr="00E41EEF">
              <w:t>/счет:  30101810300000000608</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A3CBA" w:rsidRPr="002A3CBA">
              <w:t>122</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255855">
            <w:r w:rsidRPr="00A76C1A">
              <w:t xml:space="preserve">Вскрытие конвертов с заявками на участие в конкурсе состоится   </w:t>
            </w:r>
            <w:r w:rsidR="00255855" w:rsidRPr="00255855">
              <w:t xml:space="preserve">01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C22CD9" w:rsidRDefault="00C22CD9" w:rsidP="0025585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255855" w:rsidRPr="00255855">
              <w:t>0</w:t>
            </w:r>
            <w:r w:rsidR="00255855">
              <w:t>2</w:t>
            </w:r>
            <w:r w:rsidR="00255855" w:rsidRPr="00255855">
              <w:t xml:space="preserve"> </w:t>
            </w:r>
            <w:r w:rsidR="00255855">
              <w:t>октября</w:t>
            </w:r>
            <w:r w:rsidRPr="00A06F60">
              <w:rPr>
                <w:bCs/>
                <w:kern w:val="0"/>
                <w:lang w:eastAsia="ru-RU"/>
              </w:rPr>
              <w:t xml:space="preserve"> 2015г.</w:t>
            </w:r>
          </w:p>
          <w:p w:rsidR="00255855" w:rsidRDefault="00255855" w:rsidP="00255855">
            <w:pPr>
              <w:suppressAutoHyphens w:val="0"/>
              <w:autoSpaceDE w:val="0"/>
              <w:autoSpaceDN w:val="0"/>
              <w:adjustRightInd w:val="0"/>
              <w:spacing w:after="0"/>
              <w:rPr>
                <w:bCs/>
                <w:kern w:val="0"/>
                <w:lang w:eastAsia="ru-RU"/>
              </w:rPr>
            </w:pPr>
          </w:p>
          <w:p w:rsidR="00255855" w:rsidRPr="00A76C1A" w:rsidRDefault="00255855" w:rsidP="00255855">
            <w:pPr>
              <w:suppressAutoHyphens w:val="0"/>
              <w:autoSpaceDE w:val="0"/>
              <w:autoSpaceDN w:val="0"/>
              <w:adjustRightInd w:val="0"/>
              <w:spacing w:after="0"/>
              <w:rPr>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32" type="#_x0000_t75" style="width:122.9pt;height:37.15pt" o:ole="">
                  <v:imagedata r:id="rId9" o:title=""/>
                </v:shape>
                <o:OLEObject Type="Embed" ProgID="Equation.3" ShapeID="_x0000_i1032" DrawAspect="Content" ObjectID="_150460156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C22CD9" w:rsidRPr="00A76C1A" w:rsidRDefault="00C22CD9"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5000" w:type="pct"/>
        <w:tblLook w:val="04A0"/>
      </w:tblPr>
      <w:tblGrid>
        <w:gridCol w:w="1277"/>
        <w:gridCol w:w="6077"/>
        <w:gridCol w:w="2216"/>
      </w:tblGrid>
      <w:tr w:rsidR="00255855" w:rsidRPr="00255855" w:rsidTr="00255855">
        <w:trPr>
          <w:trHeight w:val="345"/>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center"/>
              <w:rPr>
                <w:b/>
                <w:bCs/>
                <w:color w:val="000000"/>
                <w:kern w:val="0"/>
                <w:lang w:eastAsia="ru-RU"/>
              </w:rPr>
            </w:pPr>
            <w:bookmarkStart w:id="128" w:name="_Toc378593471"/>
            <w:r w:rsidRPr="00255855">
              <w:rPr>
                <w:b/>
                <w:bCs/>
                <w:color w:val="000000"/>
                <w:kern w:val="0"/>
                <w:lang w:eastAsia="ru-RU"/>
              </w:rPr>
              <w:t xml:space="preserve">№ </w:t>
            </w:r>
            <w:proofErr w:type="spellStart"/>
            <w:proofErr w:type="gramStart"/>
            <w:r w:rsidRPr="00255855">
              <w:rPr>
                <w:b/>
                <w:bCs/>
                <w:color w:val="000000"/>
                <w:kern w:val="0"/>
                <w:lang w:eastAsia="ru-RU"/>
              </w:rPr>
              <w:t>п</w:t>
            </w:r>
            <w:proofErr w:type="spellEnd"/>
            <w:proofErr w:type="gramEnd"/>
            <w:r w:rsidRPr="00255855">
              <w:rPr>
                <w:b/>
                <w:bCs/>
                <w:color w:val="000000"/>
                <w:kern w:val="0"/>
                <w:lang w:eastAsia="ru-RU"/>
              </w:rPr>
              <w:t>/</w:t>
            </w:r>
            <w:proofErr w:type="spellStart"/>
            <w:r w:rsidRPr="00255855">
              <w:rPr>
                <w:b/>
                <w:bCs/>
                <w:color w:val="000000"/>
                <w:kern w:val="0"/>
                <w:lang w:eastAsia="ru-RU"/>
              </w:rPr>
              <w:t>п</w:t>
            </w:r>
            <w:proofErr w:type="spellEnd"/>
            <w:r w:rsidRPr="00255855">
              <w:rPr>
                <w:b/>
                <w:bCs/>
                <w:color w:val="000000"/>
                <w:kern w:val="0"/>
                <w:lang w:eastAsia="ru-RU"/>
              </w:rPr>
              <w:t xml:space="preserve"> </w:t>
            </w:r>
          </w:p>
        </w:tc>
        <w:tc>
          <w:tcPr>
            <w:tcW w:w="3175" w:type="pct"/>
            <w:tcBorders>
              <w:top w:val="single" w:sz="4" w:space="0" w:color="auto"/>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center"/>
              <w:rPr>
                <w:b/>
                <w:bCs/>
                <w:color w:val="000000"/>
                <w:kern w:val="0"/>
                <w:lang w:eastAsia="ru-RU"/>
              </w:rPr>
            </w:pPr>
            <w:r w:rsidRPr="00255855">
              <w:rPr>
                <w:b/>
                <w:bCs/>
                <w:color w:val="000000"/>
                <w:kern w:val="0"/>
                <w:lang w:eastAsia="ru-RU"/>
              </w:rPr>
              <w:t>Лот (</w:t>
            </w:r>
            <w:proofErr w:type="spellStart"/>
            <w:r w:rsidRPr="00255855">
              <w:rPr>
                <w:b/>
                <w:bCs/>
                <w:color w:val="000000"/>
                <w:kern w:val="0"/>
                <w:lang w:eastAsia="ru-RU"/>
              </w:rPr>
              <w:t>Заокский</w:t>
            </w:r>
            <w:proofErr w:type="gramStart"/>
            <w:r w:rsidRPr="00255855">
              <w:rPr>
                <w:b/>
                <w:bCs/>
                <w:color w:val="000000"/>
                <w:kern w:val="0"/>
                <w:lang w:eastAsia="ru-RU"/>
              </w:rPr>
              <w:t>,Л</w:t>
            </w:r>
            <w:proofErr w:type="gramEnd"/>
            <w:r w:rsidRPr="00255855">
              <w:rPr>
                <w:b/>
                <w:bCs/>
                <w:color w:val="000000"/>
                <w:kern w:val="0"/>
                <w:lang w:eastAsia="ru-RU"/>
              </w:rPr>
              <w:t>аньшинский</w:t>
            </w:r>
            <w:proofErr w:type="spellEnd"/>
            <w:r w:rsidRPr="00255855">
              <w:rPr>
                <w:b/>
                <w:bCs/>
                <w:color w:val="000000"/>
                <w:kern w:val="0"/>
                <w:lang w:eastAsia="ru-RU"/>
              </w:rPr>
              <w:t>)</w:t>
            </w:r>
          </w:p>
        </w:tc>
        <w:tc>
          <w:tcPr>
            <w:tcW w:w="1159" w:type="pct"/>
            <w:tcBorders>
              <w:top w:val="single" w:sz="4" w:space="0" w:color="auto"/>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center"/>
              <w:rPr>
                <w:b/>
                <w:bCs/>
                <w:color w:val="000000"/>
                <w:kern w:val="0"/>
                <w:lang w:eastAsia="ru-RU"/>
              </w:rPr>
            </w:pPr>
            <w:r w:rsidRPr="00255855">
              <w:rPr>
                <w:b/>
                <w:bCs/>
                <w:color w:val="000000"/>
                <w:kern w:val="0"/>
                <w:lang w:eastAsia="ru-RU"/>
              </w:rPr>
              <w:t>Сумма</w:t>
            </w:r>
          </w:p>
        </w:tc>
      </w:tr>
      <w:tr w:rsidR="00255855" w:rsidRPr="00255855" w:rsidTr="00255855">
        <w:trPr>
          <w:trHeight w:val="450"/>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55855" w:rsidRPr="00255855" w:rsidRDefault="00255855" w:rsidP="00255855">
            <w:pPr>
              <w:suppressAutoHyphens w:val="0"/>
              <w:spacing w:after="0"/>
              <w:jc w:val="center"/>
              <w:rPr>
                <w:color w:val="000000"/>
                <w:kern w:val="0"/>
                <w:lang w:eastAsia="ru-RU"/>
              </w:rPr>
            </w:pPr>
            <w:r w:rsidRPr="00255855">
              <w:rPr>
                <w:color w:val="000000"/>
                <w:kern w:val="0"/>
                <w:lang w:eastAsia="ru-RU"/>
              </w:rPr>
              <w:t>1</w:t>
            </w:r>
          </w:p>
        </w:tc>
        <w:tc>
          <w:tcPr>
            <w:tcW w:w="3175"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left"/>
              <w:rPr>
                <w:color w:val="000000"/>
                <w:kern w:val="0"/>
                <w:lang w:eastAsia="ru-RU"/>
              </w:rPr>
            </w:pPr>
            <w:r w:rsidRPr="00255855">
              <w:rPr>
                <w:color w:val="000000"/>
                <w:kern w:val="0"/>
                <w:lang w:eastAsia="ru-RU"/>
              </w:rPr>
              <w:t xml:space="preserve">п. </w:t>
            </w:r>
            <w:proofErr w:type="spellStart"/>
            <w:r w:rsidRPr="00255855">
              <w:rPr>
                <w:color w:val="000000"/>
                <w:kern w:val="0"/>
                <w:lang w:eastAsia="ru-RU"/>
              </w:rPr>
              <w:t>Ланьшинский</w:t>
            </w:r>
            <w:proofErr w:type="spellEnd"/>
            <w:r w:rsidRPr="00255855">
              <w:rPr>
                <w:color w:val="000000"/>
                <w:kern w:val="0"/>
                <w:lang w:eastAsia="ru-RU"/>
              </w:rPr>
              <w:t>, ул. Московская</w:t>
            </w:r>
            <w:proofErr w:type="gramStart"/>
            <w:r w:rsidRPr="00255855">
              <w:rPr>
                <w:color w:val="000000"/>
                <w:kern w:val="0"/>
                <w:lang w:eastAsia="ru-RU"/>
              </w:rPr>
              <w:t xml:space="preserve"> ,</w:t>
            </w:r>
            <w:proofErr w:type="gramEnd"/>
            <w:r w:rsidRPr="00255855">
              <w:rPr>
                <w:color w:val="000000"/>
                <w:kern w:val="0"/>
                <w:lang w:eastAsia="ru-RU"/>
              </w:rPr>
              <w:t>д. 2</w:t>
            </w:r>
          </w:p>
        </w:tc>
        <w:tc>
          <w:tcPr>
            <w:tcW w:w="1159"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right"/>
              <w:rPr>
                <w:color w:val="000000"/>
                <w:kern w:val="0"/>
                <w:lang w:eastAsia="ru-RU"/>
              </w:rPr>
            </w:pPr>
            <w:r w:rsidRPr="00255855">
              <w:rPr>
                <w:color w:val="000000"/>
                <w:kern w:val="0"/>
                <w:lang w:eastAsia="ru-RU"/>
              </w:rPr>
              <w:t>1</w:t>
            </w:r>
            <w:r>
              <w:rPr>
                <w:color w:val="000000"/>
                <w:kern w:val="0"/>
                <w:lang w:eastAsia="ru-RU"/>
              </w:rPr>
              <w:t> </w:t>
            </w:r>
            <w:r w:rsidRPr="00255855">
              <w:rPr>
                <w:color w:val="000000"/>
                <w:kern w:val="0"/>
                <w:lang w:eastAsia="ru-RU"/>
              </w:rPr>
              <w:t>767</w:t>
            </w:r>
            <w:r>
              <w:rPr>
                <w:color w:val="000000"/>
                <w:kern w:val="0"/>
                <w:lang w:eastAsia="ru-RU"/>
              </w:rPr>
              <w:t xml:space="preserve"> </w:t>
            </w:r>
            <w:r w:rsidRPr="00255855">
              <w:rPr>
                <w:color w:val="000000"/>
                <w:kern w:val="0"/>
                <w:lang w:eastAsia="ru-RU"/>
              </w:rPr>
              <w:t>975,77</w:t>
            </w:r>
          </w:p>
        </w:tc>
      </w:tr>
      <w:tr w:rsidR="00255855" w:rsidRPr="00255855" w:rsidTr="00255855">
        <w:trPr>
          <w:trHeight w:val="405"/>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55855" w:rsidRPr="00255855" w:rsidRDefault="00255855" w:rsidP="00255855">
            <w:pPr>
              <w:suppressAutoHyphens w:val="0"/>
              <w:spacing w:after="0"/>
              <w:jc w:val="center"/>
              <w:rPr>
                <w:color w:val="000000"/>
                <w:kern w:val="0"/>
                <w:lang w:eastAsia="ru-RU"/>
              </w:rPr>
            </w:pPr>
            <w:r w:rsidRPr="00255855">
              <w:rPr>
                <w:color w:val="000000"/>
                <w:kern w:val="0"/>
                <w:lang w:eastAsia="ru-RU"/>
              </w:rPr>
              <w:t>2</w:t>
            </w:r>
          </w:p>
        </w:tc>
        <w:tc>
          <w:tcPr>
            <w:tcW w:w="3175"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left"/>
              <w:rPr>
                <w:color w:val="000000"/>
                <w:kern w:val="0"/>
                <w:lang w:eastAsia="ru-RU"/>
              </w:rPr>
            </w:pPr>
            <w:r w:rsidRPr="00255855">
              <w:rPr>
                <w:color w:val="000000"/>
                <w:kern w:val="0"/>
                <w:lang w:eastAsia="ru-RU"/>
              </w:rPr>
              <w:t xml:space="preserve">п. </w:t>
            </w:r>
            <w:proofErr w:type="spellStart"/>
            <w:r w:rsidRPr="00255855">
              <w:rPr>
                <w:color w:val="000000"/>
                <w:kern w:val="0"/>
                <w:lang w:eastAsia="ru-RU"/>
              </w:rPr>
              <w:t>Ланьшинский</w:t>
            </w:r>
            <w:proofErr w:type="spellEnd"/>
            <w:r w:rsidRPr="00255855">
              <w:rPr>
                <w:color w:val="000000"/>
                <w:kern w:val="0"/>
                <w:lang w:eastAsia="ru-RU"/>
              </w:rPr>
              <w:t>, ул. Московская</w:t>
            </w:r>
            <w:proofErr w:type="gramStart"/>
            <w:r w:rsidRPr="00255855">
              <w:rPr>
                <w:color w:val="000000"/>
                <w:kern w:val="0"/>
                <w:lang w:eastAsia="ru-RU"/>
              </w:rPr>
              <w:t xml:space="preserve"> ,</w:t>
            </w:r>
            <w:proofErr w:type="gramEnd"/>
            <w:r w:rsidRPr="00255855">
              <w:rPr>
                <w:color w:val="000000"/>
                <w:kern w:val="0"/>
                <w:lang w:eastAsia="ru-RU"/>
              </w:rPr>
              <w:t>д. 4</w:t>
            </w:r>
          </w:p>
        </w:tc>
        <w:tc>
          <w:tcPr>
            <w:tcW w:w="1159"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right"/>
              <w:rPr>
                <w:color w:val="000000"/>
                <w:kern w:val="0"/>
                <w:lang w:eastAsia="ru-RU"/>
              </w:rPr>
            </w:pPr>
            <w:r w:rsidRPr="00255855">
              <w:rPr>
                <w:color w:val="000000"/>
                <w:kern w:val="0"/>
                <w:lang w:eastAsia="ru-RU"/>
              </w:rPr>
              <w:t>1</w:t>
            </w:r>
            <w:r>
              <w:rPr>
                <w:color w:val="000000"/>
                <w:kern w:val="0"/>
                <w:lang w:eastAsia="ru-RU"/>
              </w:rPr>
              <w:t> </w:t>
            </w:r>
            <w:r w:rsidRPr="00255855">
              <w:rPr>
                <w:color w:val="000000"/>
                <w:kern w:val="0"/>
                <w:lang w:eastAsia="ru-RU"/>
              </w:rPr>
              <w:t>261</w:t>
            </w:r>
            <w:r>
              <w:rPr>
                <w:color w:val="000000"/>
                <w:kern w:val="0"/>
                <w:lang w:eastAsia="ru-RU"/>
              </w:rPr>
              <w:t xml:space="preserve"> </w:t>
            </w:r>
            <w:r w:rsidRPr="00255855">
              <w:rPr>
                <w:color w:val="000000"/>
                <w:kern w:val="0"/>
                <w:lang w:eastAsia="ru-RU"/>
              </w:rPr>
              <w:t>774,7</w:t>
            </w:r>
          </w:p>
        </w:tc>
      </w:tr>
      <w:tr w:rsidR="00255855" w:rsidRPr="00255855" w:rsidTr="00255855">
        <w:trPr>
          <w:trHeight w:val="405"/>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55855" w:rsidRPr="00255855" w:rsidRDefault="00255855" w:rsidP="00255855">
            <w:pPr>
              <w:suppressAutoHyphens w:val="0"/>
              <w:spacing w:after="0"/>
              <w:jc w:val="center"/>
              <w:rPr>
                <w:color w:val="000000"/>
                <w:kern w:val="0"/>
                <w:lang w:eastAsia="ru-RU"/>
              </w:rPr>
            </w:pPr>
            <w:r w:rsidRPr="00255855">
              <w:rPr>
                <w:color w:val="000000"/>
                <w:kern w:val="0"/>
                <w:lang w:eastAsia="ru-RU"/>
              </w:rPr>
              <w:t>3</w:t>
            </w:r>
          </w:p>
        </w:tc>
        <w:tc>
          <w:tcPr>
            <w:tcW w:w="3175"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left"/>
              <w:rPr>
                <w:color w:val="000000"/>
                <w:kern w:val="0"/>
                <w:lang w:eastAsia="ru-RU"/>
              </w:rPr>
            </w:pPr>
            <w:r w:rsidRPr="00255855">
              <w:rPr>
                <w:color w:val="000000"/>
                <w:kern w:val="0"/>
                <w:lang w:eastAsia="ru-RU"/>
              </w:rPr>
              <w:t>п. Заокский пр. Первомайский</w:t>
            </w:r>
            <w:proofErr w:type="gramStart"/>
            <w:r w:rsidRPr="00255855">
              <w:rPr>
                <w:color w:val="000000"/>
                <w:kern w:val="0"/>
                <w:lang w:eastAsia="ru-RU"/>
              </w:rPr>
              <w:t xml:space="preserve"> ,</w:t>
            </w:r>
            <w:proofErr w:type="gramEnd"/>
            <w:r w:rsidRPr="00255855">
              <w:rPr>
                <w:color w:val="000000"/>
                <w:kern w:val="0"/>
                <w:lang w:eastAsia="ru-RU"/>
              </w:rPr>
              <w:t>д. 1</w:t>
            </w:r>
          </w:p>
        </w:tc>
        <w:tc>
          <w:tcPr>
            <w:tcW w:w="1159"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right"/>
              <w:rPr>
                <w:color w:val="000000"/>
                <w:kern w:val="0"/>
                <w:lang w:eastAsia="ru-RU"/>
              </w:rPr>
            </w:pPr>
            <w:r w:rsidRPr="00255855">
              <w:rPr>
                <w:color w:val="000000"/>
                <w:kern w:val="0"/>
                <w:lang w:eastAsia="ru-RU"/>
              </w:rPr>
              <w:t>1</w:t>
            </w:r>
            <w:r>
              <w:rPr>
                <w:color w:val="000000"/>
                <w:kern w:val="0"/>
                <w:lang w:eastAsia="ru-RU"/>
              </w:rPr>
              <w:t> </w:t>
            </w:r>
            <w:r w:rsidRPr="00255855">
              <w:rPr>
                <w:color w:val="000000"/>
                <w:kern w:val="0"/>
                <w:lang w:eastAsia="ru-RU"/>
              </w:rPr>
              <w:t>608</w:t>
            </w:r>
            <w:r>
              <w:rPr>
                <w:color w:val="000000"/>
                <w:kern w:val="0"/>
                <w:lang w:eastAsia="ru-RU"/>
              </w:rPr>
              <w:t xml:space="preserve"> </w:t>
            </w:r>
            <w:r w:rsidRPr="00255855">
              <w:rPr>
                <w:color w:val="000000"/>
                <w:kern w:val="0"/>
                <w:lang w:eastAsia="ru-RU"/>
              </w:rPr>
              <w:t>942,5</w:t>
            </w:r>
          </w:p>
        </w:tc>
      </w:tr>
      <w:tr w:rsidR="00255855" w:rsidRPr="00255855" w:rsidTr="00255855">
        <w:trPr>
          <w:trHeight w:val="405"/>
        </w:trPr>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55855" w:rsidRPr="00255855" w:rsidRDefault="00255855" w:rsidP="00255855">
            <w:pPr>
              <w:suppressAutoHyphens w:val="0"/>
              <w:spacing w:after="0"/>
              <w:jc w:val="center"/>
              <w:rPr>
                <w:color w:val="000000"/>
                <w:kern w:val="0"/>
                <w:lang w:eastAsia="ru-RU"/>
              </w:rPr>
            </w:pPr>
            <w:r w:rsidRPr="00255855">
              <w:rPr>
                <w:color w:val="000000"/>
                <w:kern w:val="0"/>
                <w:lang w:eastAsia="ru-RU"/>
              </w:rPr>
              <w:t>4</w:t>
            </w:r>
          </w:p>
        </w:tc>
        <w:tc>
          <w:tcPr>
            <w:tcW w:w="3175"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left"/>
              <w:rPr>
                <w:color w:val="000000"/>
                <w:kern w:val="0"/>
                <w:lang w:eastAsia="ru-RU"/>
              </w:rPr>
            </w:pPr>
            <w:r w:rsidRPr="00255855">
              <w:rPr>
                <w:color w:val="000000"/>
                <w:kern w:val="0"/>
                <w:lang w:eastAsia="ru-RU"/>
              </w:rPr>
              <w:t>п. Заокский ул. Ленина</w:t>
            </w:r>
            <w:proofErr w:type="gramStart"/>
            <w:r w:rsidRPr="00255855">
              <w:rPr>
                <w:color w:val="000000"/>
                <w:kern w:val="0"/>
                <w:lang w:eastAsia="ru-RU"/>
              </w:rPr>
              <w:t xml:space="preserve"> ,</w:t>
            </w:r>
            <w:proofErr w:type="gramEnd"/>
            <w:r w:rsidRPr="00255855">
              <w:rPr>
                <w:color w:val="000000"/>
                <w:kern w:val="0"/>
                <w:lang w:eastAsia="ru-RU"/>
              </w:rPr>
              <w:t>д. 43</w:t>
            </w:r>
          </w:p>
        </w:tc>
        <w:tc>
          <w:tcPr>
            <w:tcW w:w="1159"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right"/>
              <w:rPr>
                <w:color w:val="000000"/>
                <w:kern w:val="0"/>
                <w:lang w:eastAsia="ru-RU"/>
              </w:rPr>
            </w:pPr>
            <w:r w:rsidRPr="00255855">
              <w:rPr>
                <w:color w:val="000000"/>
                <w:kern w:val="0"/>
                <w:lang w:eastAsia="ru-RU"/>
              </w:rPr>
              <w:t>1</w:t>
            </w:r>
            <w:r>
              <w:rPr>
                <w:color w:val="000000"/>
                <w:kern w:val="0"/>
                <w:lang w:eastAsia="ru-RU"/>
              </w:rPr>
              <w:t> </w:t>
            </w:r>
            <w:r w:rsidRPr="00255855">
              <w:rPr>
                <w:color w:val="000000"/>
                <w:kern w:val="0"/>
                <w:lang w:eastAsia="ru-RU"/>
              </w:rPr>
              <w:t>078</w:t>
            </w:r>
            <w:r>
              <w:rPr>
                <w:color w:val="000000"/>
                <w:kern w:val="0"/>
                <w:lang w:eastAsia="ru-RU"/>
              </w:rPr>
              <w:t xml:space="preserve"> </w:t>
            </w:r>
            <w:r w:rsidRPr="00255855">
              <w:rPr>
                <w:color w:val="000000"/>
                <w:kern w:val="0"/>
                <w:lang w:eastAsia="ru-RU"/>
              </w:rPr>
              <w:t>553,86</w:t>
            </w:r>
          </w:p>
        </w:tc>
      </w:tr>
      <w:tr w:rsidR="00255855" w:rsidRPr="00255855" w:rsidTr="00255855">
        <w:trPr>
          <w:trHeight w:val="315"/>
        </w:trPr>
        <w:tc>
          <w:tcPr>
            <w:tcW w:w="38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855" w:rsidRPr="00255855" w:rsidRDefault="00255855" w:rsidP="00255855">
            <w:pPr>
              <w:suppressAutoHyphens w:val="0"/>
              <w:spacing w:after="0"/>
              <w:jc w:val="center"/>
              <w:rPr>
                <w:b/>
                <w:bCs/>
                <w:color w:val="000000"/>
                <w:kern w:val="0"/>
                <w:lang w:eastAsia="ru-RU"/>
              </w:rPr>
            </w:pPr>
            <w:r w:rsidRPr="00255855">
              <w:rPr>
                <w:b/>
                <w:bCs/>
                <w:color w:val="000000"/>
                <w:kern w:val="0"/>
                <w:lang w:eastAsia="ru-RU"/>
              </w:rPr>
              <w:t>ИТОГО:</w:t>
            </w:r>
          </w:p>
        </w:tc>
        <w:tc>
          <w:tcPr>
            <w:tcW w:w="1159" w:type="pct"/>
            <w:tcBorders>
              <w:top w:val="nil"/>
              <w:left w:val="nil"/>
              <w:bottom w:val="single" w:sz="4" w:space="0" w:color="auto"/>
              <w:right w:val="single" w:sz="4" w:space="0" w:color="auto"/>
            </w:tcBorders>
            <w:shd w:val="clear" w:color="auto" w:fill="auto"/>
            <w:noWrap/>
            <w:vAlign w:val="bottom"/>
            <w:hideMark/>
          </w:tcPr>
          <w:p w:rsidR="00255855" w:rsidRPr="00255855" w:rsidRDefault="00255855" w:rsidP="00255855">
            <w:pPr>
              <w:suppressAutoHyphens w:val="0"/>
              <w:spacing w:after="0"/>
              <w:jc w:val="right"/>
              <w:rPr>
                <w:b/>
                <w:bCs/>
                <w:color w:val="000000"/>
                <w:kern w:val="0"/>
                <w:lang w:eastAsia="ru-RU"/>
              </w:rPr>
            </w:pPr>
            <w:r w:rsidRPr="00255855">
              <w:rPr>
                <w:b/>
                <w:bCs/>
                <w:color w:val="000000"/>
                <w:kern w:val="0"/>
                <w:lang w:eastAsia="ru-RU"/>
              </w:rPr>
              <w:t>5</w:t>
            </w:r>
            <w:r>
              <w:rPr>
                <w:b/>
                <w:bCs/>
                <w:color w:val="000000"/>
                <w:kern w:val="0"/>
                <w:lang w:eastAsia="ru-RU"/>
              </w:rPr>
              <w:t> </w:t>
            </w:r>
            <w:r w:rsidRPr="00255855">
              <w:rPr>
                <w:b/>
                <w:bCs/>
                <w:color w:val="000000"/>
                <w:kern w:val="0"/>
                <w:lang w:eastAsia="ru-RU"/>
              </w:rPr>
              <w:t>717</w:t>
            </w:r>
            <w:r>
              <w:rPr>
                <w:b/>
                <w:bCs/>
                <w:color w:val="000000"/>
                <w:kern w:val="0"/>
                <w:lang w:eastAsia="ru-RU"/>
              </w:rPr>
              <w:t xml:space="preserve"> </w:t>
            </w:r>
            <w:r w:rsidRPr="00255855">
              <w:rPr>
                <w:b/>
                <w:bCs/>
                <w:color w:val="000000"/>
                <w:kern w:val="0"/>
                <w:lang w:eastAsia="ru-RU"/>
              </w:rPr>
              <w:t>246,83</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0D0D47" w:rsidRDefault="000D0D47"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Pr="001C603E" w:rsidRDefault="00562CB5" w:rsidP="00193A1E">
      <w:pPr>
        <w:ind w:firstLine="709"/>
      </w:pPr>
      <w:r w:rsidRPr="001C603E">
        <w:t xml:space="preserve">Предмет договора: </w:t>
      </w:r>
      <w:r w:rsidR="00255855" w:rsidRPr="001C603E">
        <w:t>Выполнение работ по капитальному ремонту общего имущества многоквартирных жилых домов, расположенных по адресам:</w:t>
      </w:r>
    </w:p>
    <w:p w:rsidR="00255855" w:rsidRPr="001C603E" w:rsidRDefault="00255855" w:rsidP="00255855">
      <w:pPr>
        <w:spacing w:after="0"/>
      </w:pPr>
    </w:p>
    <w:p w:rsidR="00255855" w:rsidRPr="001C603E" w:rsidRDefault="00255855" w:rsidP="00255855">
      <w:pPr>
        <w:spacing w:after="0"/>
        <w:jc w:val="center"/>
        <w:rPr>
          <w:color w:val="000000"/>
        </w:rPr>
      </w:pPr>
      <w:r w:rsidRPr="001C603E">
        <w:rPr>
          <w:color w:val="000000"/>
        </w:rPr>
        <w:t xml:space="preserve">п. </w:t>
      </w:r>
      <w:proofErr w:type="spellStart"/>
      <w:r w:rsidRPr="001C603E">
        <w:rPr>
          <w:color w:val="000000"/>
        </w:rPr>
        <w:t>Ланьшинский</w:t>
      </w:r>
      <w:proofErr w:type="spellEnd"/>
      <w:r w:rsidRPr="001C603E">
        <w:rPr>
          <w:color w:val="000000"/>
        </w:rPr>
        <w:t>, ул. Московская, д. 2</w:t>
      </w:r>
    </w:p>
    <w:p w:rsidR="00255855" w:rsidRPr="001C603E" w:rsidRDefault="00255855" w:rsidP="00255855">
      <w:pPr>
        <w:spacing w:after="0"/>
        <w:jc w:val="center"/>
        <w:rPr>
          <w:color w:val="000000"/>
        </w:rPr>
      </w:pPr>
      <w:r w:rsidRPr="001C603E">
        <w:rPr>
          <w:color w:val="000000"/>
        </w:rPr>
        <w:t xml:space="preserve">п. </w:t>
      </w:r>
      <w:proofErr w:type="spellStart"/>
      <w:r w:rsidRPr="001C603E">
        <w:rPr>
          <w:color w:val="000000"/>
        </w:rPr>
        <w:t>Ланьшинский</w:t>
      </w:r>
      <w:proofErr w:type="spellEnd"/>
      <w:r w:rsidRPr="001C603E">
        <w:rPr>
          <w:color w:val="000000"/>
        </w:rPr>
        <w:t>, ул. Московская, д. 4</w:t>
      </w:r>
    </w:p>
    <w:p w:rsidR="00255855" w:rsidRPr="001C603E" w:rsidRDefault="00255855" w:rsidP="00255855">
      <w:pPr>
        <w:spacing w:after="0"/>
        <w:jc w:val="center"/>
        <w:rPr>
          <w:color w:val="000000"/>
        </w:rPr>
      </w:pPr>
      <w:r w:rsidRPr="001C603E">
        <w:rPr>
          <w:color w:val="000000"/>
        </w:rPr>
        <w:t>п. Заокский, пр. Первомайский, д. 1</w:t>
      </w:r>
    </w:p>
    <w:p w:rsidR="00255855" w:rsidRPr="001C603E" w:rsidRDefault="00255855" w:rsidP="00255855">
      <w:pPr>
        <w:jc w:val="center"/>
      </w:pPr>
      <w:r w:rsidRPr="001C603E">
        <w:rPr>
          <w:color w:val="000000"/>
        </w:rPr>
        <w:t xml:space="preserve">п. </w:t>
      </w:r>
      <w:proofErr w:type="gramStart"/>
      <w:r w:rsidRPr="001C603E">
        <w:rPr>
          <w:color w:val="000000"/>
        </w:rPr>
        <w:t>Заокский</w:t>
      </w:r>
      <w:proofErr w:type="gramEnd"/>
      <w:r w:rsidRPr="001C603E">
        <w:rPr>
          <w:color w:val="000000"/>
        </w:rPr>
        <w:t>, ул. Ленина, д. 43</w:t>
      </w:r>
    </w:p>
    <w:p w:rsidR="00255855" w:rsidRPr="001C603E" w:rsidRDefault="00255855" w:rsidP="0040110A">
      <w:pPr>
        <w:ind w:firstLine="709"/>
      </w:pPr>
    </w:p>
    <w:p w:rsidR="00562CB5" w:rsidRPr="001C603E" w:rsidRDefault="00562CB5" w:rsidP="0040110A">
      <w:pPr>
        <w:ind w:firstLine="709"/>
      </w:pPr>
      <w:r w:rsidRPr="001C603E">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06F60" w:rsidRPr="001C603E" w:rsidRDefault="00562CB5" w:rsidP="00193A1E">
      <w:pPr>
        <w:ind w:firstLine="709"/>
        <w:rPr>
          <w:color w:val="000000"/>
        </w:rPr>
      </w:pPr>
      <w:r w:rsidRPr="001C603E">
        <w:t>Начальная (максимальная) цена контракта с у</w:t>
      </w:r>
      <w:r w:rsidR="00543F8B" w:rsidRPr="001C603E">
        <w:t xml:space="preserve">четом НДС составляет: </w:t>
      </w:r>
      <w:bookmarkStart w:id="132" w:name="_GoBack"/>
      <w:bookmarkEnd w:id="132"/>
      <w:r w:rsidR="001C603E" w:rsidRPr="001C603E">
        <w:rPr>
          <w:color w:val="000000"/>
        </w:rPr>
        <w:t>5 717 246,83</w:t>
      </w:r>
      <w:r w:rsidR="00A06F60" w:rsidRPr="001C603E">
        <w:rPr>
          <w:color w:val="000000"/>
        </w:rPr>
        <w:t xml:space="preserve"> руб.</w:t>
      </w:r>
    </w:p>
    <w:p w:rsidR="00562CB5" w:rsidRPr="001C603E" w:rsidRDefault="00562CB5" w:rsidP="00A06F60">
      <w:pPr>
        <w:ind w:firstLine="709"/>
      </w:pPr>
      <w:r w:rsidRPr="001C603E">
        <w:t xml:space="preserve">Сметы и ведомости ресурсов </w:t>
      </w:r>
      <w:r w:rsidR="00536A13" w:rsidRPr="001C603E">
        <w:t xml:space="preserve">представлены в телекоммуникационной сети «Интернет» на сайте Заказчика – </w:t>
      </w:r>
      <w:r w:rsidR="004C7BAA" w:rsidRPr="001C603E">
        <w:rPr>
          <w:lang w:val="en-US"/>
        </w:rPr>
        <w:t>www</w:t>
      </w:r>
      <w:r w:rsidR="004C7BAA" w:rsidRPr="001C603E">
        <w:t>.</w:t>
      </w:r>
      <w:proofErr w:type="spellStart"/>
      <w:r w:rsidR="00536A13" w:rsidRPr="001C603E">
        <w:rPr>
          <w:lang w:val="en-US"/>
        </w:rPr>
        <w:t>kapremont</w:t>
      </w:r>
      <w:proofErr w:type="spellEnd"/>
      <w:r w:rsidR="00536A13" w:rsidRPr="001C603E">
        <w:t>71.</w:t>
      </w:r>
      <w:proofErr w:type="spellStart"/>
      <w:r w:rsidR="00536A13" w:rsidRPr="001C603E">
        <w:rPr>
          <w:lang w:val="en-US"/>
        </w:rPr>
        <w:t>ru</w:t>
      </w:r>
      <w:proofErr w:type="spellEnd"/>
      <w:r w:rsidRPr="001C603E">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55" w:rsidRDefault="00255855">
      <w:pPr>
        <w:spacing w:after="0"/>
      </w:pPr>
      <w:r>
        <w:separator/>
      </w:r>
    </w:p>
  </w:endnote>
  <w:endnote w:type="continuationSeparator" w:id="0">
    <w:p w:rsidR="00255855" w:rsidRDefault="002558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Pr="00394EB9" w:rsidRDefault="0025585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55" w:rsidRDefault="00255855">
      <w:pPr>
        <w:spacing w:after="0"/>
      </w:pPr>
      <w:r>
        <w:separator/>
      </w:r>
    </w:p>
  </w:footnote>
  <w:footnote w:type="continuationSeparator" w:id="0">
    <w:p w:rsidR="00255855" w:rsidRDefault="002558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rsidP="001C026D">
    <w:pPr>
      <w:jc w:val="center"/>
    </w:pPr>
    <w:fldSimple w:instr="PAGE   \* MERGEFORMAT">
      <w:r w:rsidR="001C603E">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rsidP="001C026D">
    <w:pPr>
      <w:jc w:val="center"/>
    </w:pPr>
    <w:fldSimple w:instr="PAGE   \* MERGEFORMAT">
      <w:r w:rsidR="001C603E">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55" w:rsidRDefault="00255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4584F"/>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A9F5-2CFA-41DE-972C-1991003A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16307</Words>
  <Characters>92956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2015-09-03T13:32:00Z</cp:lastPrinted>
  <dcterms:created xsi:type="dcterms:W3CDTF">2015-09-24T09:06:00Z</dcterms:created>
  <dcterms:modified xsi:type="dcterms:W3CDTF">2015-09-24T09:06:00Z</dcterms:modified>
</cp:coreProperties>
</file>