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6B49E8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4A3E25">
        <w:rPr>
          <w:rFonts w:ascii="Times New Roman" w:hAnsi="Times New Roman"/>
          <w:sz w:val="24"/>
          <w:szCs w:val="24"/>
        </w:rPr>
        <w:t>9</w:t>
      </w:r>
    </w:p>
    <w:p w:rsidR="003E330F" w:rsidRPr="00762F16" w:rsidRDefault="003E330F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ул.Тихомирова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д.27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ул.Тихомирова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д.29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4A3E25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3 085 025,41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A3E25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085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025,41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A3E25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085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025,41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4A3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(максимальной) цены договора и составляет </w:t>
            </w:r>
            <w:r w:rsidR="004A3E25">
              <w:rPr>
                <w:rFonts w:ascii="Times New Roman" w:hAnsi="Times New Roman"/>
                <w:color w:val="000000"/>
                <w:sz w:val="24"/>
                <w:szCs w:val="24"/>
              </w:rPr>
              <w:t>154 251,27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4A3E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ул.Тихомирова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д.27</w:t>
            </w:r>
          </w:p>
          <w:p w:rsidR="004A3E25" w:rsidRPr="004A3E25" w:rsidRDefault="004A3E25" w:rsidP="004A3E2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25">
              <w:rPr>
                <w:rFonts w:ascii="Times New Roman" w:hAnsi="Times New Roman"/>
                <w:sz w:val="24"/>
                <w:szCs w:val="24"/>
              </w:rPr>
              <w:t xml:space="preserve">Каменский район,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4A3E2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A3E25">
              <w:rPr>
                <w:rFonts w:ascii="Times New Roman" w:hAnsi="Times New Roman"/>
                <w:sz w:val="24"/>
                <w:szCs w:val="24"/>
              </w:rPr>
              <w:t>рхангельское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A3E25">
              <w:rPr>
                <w:rFonts w:ascii="Times New Roman" w:hAnsi="Times New Roman"/>
                <w:sz w:val="24"/>
                <w:szCs w:val="24"/>
              </w:rPr>
              <w:t>ул.Тихомирова</w:t>
            </w:r>
            <w:proofErr w:type="spellEnd"/>
            <w:r w:rsidRPr="004A3E25">
              <w:rPr>
                <w:rFonts w:ascii="Times New Roman" w:hAnsi="Times New Roman"/>
                <w:sz w:val="24"/>
                <w:szCs w:val="24"/>
              </w:rPr>
              <w:t>, д.29</w:t>
            </w:r>
          </w:p>
          <w:p w:rsidR="00E063C7" w:rsidRPr="00762F16" w:rsidRDefault="00E063C7" w:rsidP="00E06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4A3E25">
              <w:rPr>
                <w:rFonts w:ascii="Times New Roman" w:hAnsi="Times New Roman"/>
                <w:sz w:val="24"/>
                <w:szCs w:val="24"/>
                <w:lang w:eastAsia="ru-RU"/>
              </w:rPr>
              <w:t>462 753,81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4A3E25">
              <w:rPr>
                <w:rFonts w:ascii="Times New Roman" w:hAnsi="Times New Roman"/>
                <w:color w:val="000000"/>
                <w:sz w:val="24"/>
                <w:szCs w:val="24"/>
              </w:rPr>
              <w:t>154 251,27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4A3E2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bookmarkStart w:id="0" w:name="_GoBack"/>
            <w:bookmarkEnd w:id="0"/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62" w:rsidRDefault="00005462" w:rsidP="003B408B">
      <w:pPr>
        <w:spacing w:after="0" w:line="240" w:lineRule="auto"/>
      </w:pPr>
      <w:r>
        <w:separator/>
      </w:r>
    </w:p>
  </w:endnote>
  <w:endnote w:type="continuationSeparator" w:id="0">
    <w:p w:rsidR="00005462" w:rsidRDefault="00005462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62" w:rsidRDefault="00005462" w:rsidP="003B408B">
      <w:pPr>
        <w:spacing w:after="0" w:line="240" w:lineRule="auto"/>
      </w:pPr>
      <w:r>
        <w:separator/>
      </w:r>
    </w:p>
  </w:footnote>
  <w:footnote w:type="continuationSeparator" w:id="0">
    <w:p w:rsidR="00005462" w:rsidRDefault="00005462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E6388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D4F19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20A1-D41F-465D-AF72-7995F5E8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24</cp:revision>
  <cp:lastPrinted>2015-09-03T08:14:00Z</cp:lastPrinted>
  <dcterms:created xsi:type="dcterms:W3CDTF">2015-12-31T15:56:00Z</dcterms:created>
  <dcterms:modified xsi:type="dcterms:W3CDTF">2016-01-05T14:02:00Z</dcterms:modified>
</cp:coreProperties>
</file>