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AD181F" w:rsidRDefault="00AD181F"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D181F" w:rsidRDefault="00AD181F" w:rsidP="00A06F60">
      <w:pPr>
        <w:spacing w:after="0"/>
        <w:jc w:val="right"/>
      </w:pPr>
    </w:p>
    <w:p w:rsidR="00A06F60" w:rsidRPr="00FE405D" w:rsidRDefault="00705B58" w:rsidP="00A06F60">
      <w:pPr>
        <w:spacing w:after="0"/>
        <w:jc w:val="right"/>
      </w:pPr>
      <w:r>
        <w:t xml:space="preserve">Реестровый номер торгов: </w:t>
      </w:r>
      <w:r w:rsidR="00027D85">
        <w:t>2</w:t>
      </w:r>
      <w:r w:rsidR="00A41541">
        <w:t>5</w:t>
      </w:r>
      <w:r w:rsidR="00AD181F">
        <w:t>8</w:t>
      </w:r>
    </w:p>
    <w:p w:rsidR="001C1456" w:rsidRDefault="001C1456" w:rsidP="009C60B2">
      <w:pPr>
        <w:spacing w:after="0"/>
        <w:jc w:val="right"/>
      </w:pPr>
    </w:p>
    <w:p w:rsidR="00AD181F" w:rsidRDefault="00AD181F" w:rsidP="009C60B2">
      <w:pPr>
        <w:spacing w:after="0"/>
        <w:jc w:val="right"/>
      </w:pPr>
    </w:p>
    <w:p w:rsidR="00AD181F" w:rsidRPr="001C1456" w:rsidRDefault="00AD181F"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D181F" w:rsidRDefault="00AD181F" w:rsidP="00A41541">
      <w:pPr>
        <w:spacing w:after="0"/>
        <w:jc w:val="center"/>
      </w:pP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ул.Гайдара, д.13</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ул.Глинки, д.5</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ул.Глинки, д.6</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ул.Кирова, д.141</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ул.Кирова, д.153, секция А</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ул.Кирова, д.184б</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ул.Кутузова, д.4</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ул.Кутузова, д.31</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ул.Кутузова, д.43а</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ул.Кутузова, д.152</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ул.Марата, д.57</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ул.Металлургов, д.5</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ул.Металлургов, д.6</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ул.Металлургов, д.7</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ул.Металлургов, д.24</w:t>
      </w:r>
      <w:r>
        <w:t>,</w:t>
      </w:r>
    </w:p>
    <w:p w:rsidR="00AD181F" w:rsidRDefault="00AD181F" w:rsidP="00AD181F">
      <w:pPr>
        <w:tabs>
          <w:tab w:val="center" w:pos="4677"/>
        </w:tabs>
        <w:autoSpaceDE w:val="0"/>
        <w:spacing w:after="0"/>
        <w:jc w:val="center"/>
      </w:pPr>
      <w:r w:rsidRPr="00EF5DFA">
        <w:t>г</w:t>
      </w:r>
      <w:proofErr w:type="gramStart"/>
      <w:r w:rsidRPr="00EF5DFA">
        <w:t>.Т</w:t>
      </w:r>
      <w:proofErr w:type="gramEnd"/>
      <w:r w:rsidRPr="00EF5DFA">
        <w:t>ула, ул.Немцова, д.5, секция А</w:t>
      </w:r>
      <w:r>
        <w:t>,</w:t>
      </w:r>
    </w:p>
    <w:p w:rsidR="00D551A5" w:rsidRDefault="00AD181F" w:rsidP="00AD181F">
      <w:pPr>
        <w:tabs>
          <w:tab w:val="center" w:pos="4677"/>
        </w:tabs>
        <w:autoSpaceDE w:val="0"/>
        <w:spacing w:after="0"/>
        <w:jc w:val="center"/>
      </w:pPr>
      <w:r w:rsidRPr="00EF5DFA">
        <w:t>г</w:t>
      </w:r>
      <w:proofErr w:type="gramStart"/>
      <w:r w:rsidRPr="00EF5DFA">
        <w:t>.Т</w:t>
      </w:r>
      <w:proofErr w:type="gramEnd"/>
      <w:r w:rsidRPr="00EF5DFA">
        <w:t>ула, ул.Немцова, д.6, секция А</w:t>
      </w:r>
      <w:r>
        <w:t>.</w:t>
      </w:r>
    </w:p>
    <w:p w:rsidR="00AD181F" w:rsidRDefault="00AD181F" w:rsidP="001C026D">
      <w:pPr>
        <w:autoSpaceDE w:val="0"/>
      </w:pPr>
    </w:p>
    <w:p w:rsidR="00AD181F" w:rsidRDefault="00AD181F" w:rsidP="001C026D">
      <w:pPr>
        <w:autoSpaceDE w:val="0"/>
      </w:pPr>
    </w:p>
    <w:p w:rsidR="00AD181F" w:rsidRDefault="00AD181F"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AD181F" w:rsidRDefault="00AD181F"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AD181F" w:rsidRDefault="00AD181F"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AC0007" w:rsidP="001C026D">
      <w:pPr>
        <w:pStyle w:val="1f1"/>
        <w:rPr>
          <w:b w:val="0"/>
          <w:noProof/>
          <w:sz w:val="24"/>
          <w:szCs w:val="24"/>
        </w:rPr>
      </w:pPr>
      <w:r w:rsidRPr="00AC0007">
        <w:rPr>
          <w:sz w:val="24"/>
          <w:szCs w:val="24"/>
        </w:rPr>
        <w:fldChar w:fldCharType="begin"/>
      </w:r>
      <w:r w:rsidR="001C026D" w:rsidRPr="00A76C1A">
        <w:rPr>
          <w:sz w:val="24"/>
          <w:szCs w:val="24"/>
        </w:rPr>
        <w:instrText xml:space="preserve"> TOC </w:instrText>
      </w:r>
      <w:r w:rsidRPr="00AC0007">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AC0007"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AC0007" w:rsidRPr="00A76C1A">
        <w:rPr>
          <w:bCs/>
        </w:rPr>
        <w:fldChar w:fldCharType="begin"/>
      </w:r>
      <w:r w:rsidRPr="00A76C1A">
        <w:rPr>
          <w:bCs/>
        </w:rPr>
        <w:instrText xml:space="preserve"> REF _Ref166267456 \h  \* MERGEFORMAT </w:instrText>
      </w:r>
      <w:r w:rsidR="00AC0007" w:rsidRPr="00A76C1A">
        <w:rPr>
          <w:bCs/>
        </w:rPr>
      </w:r>
      <w:r w:rsidR="00AC000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AC0007" w:rsidRPr="00A76C1A">
        <w:rPr>
          <w:bCs/>
        </w:rPr>
        <w:fldChar w:fldCharType="begin"/>
      </w:r>
      <w:r w:rsidRPr="00A76C1A">
        <w:rPr>
          <w:bCs/>
        </w:rPr>
        <w:instrText xml:space="preserve"> REF _Ref166267457 \h  \* MERGEFORMAT </w:instrText>
      </w:r>
      <w:r w:rsidR="00AC0007" w:rsidRPr="00A76C1A">
        <w:rPr>
          <w:bCs/>
        </w:rPr>
      </w:r>
      <w:r w:rsidR="00AC000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AC0007" w:rsidRPr="00A76C1A">
        <w:rPr>
          <w:bCs/>
        </w:rPr>
        <w:fldChar w:fldCharType="begin"/>
      </w:r>
      <w:r w:rsidRPr="00A76C1A">
        <w:rPr>
          <w:bCs/>
        </w:rPr>
        <w:instrText xml:space="preserve"> REF _Ref166267727 \h  \* MERGEFORMAT </w:instrText>
      </w:r>
      <w:r w:rsidR="00AC0007" w:rsidRPr="00A76C1A">
        <w:rPr>
          <w:bCs/>
        </w:rPr>
      </w:r>
      <w:r w:rsidR="00AC000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AC0007" w:rsidRPr="00A76C1A">
        <w:rPr>
          <w:bCs/>
        </w:rPr>
        <w:fldChar w:fldCharType="begin"/>
      </w:r>
      <w:r w:rsidRPr="00A76C1A">
        <w:rPr>
          <w:bCs/>
        </w:rPr>
        <w:instrText xml:space="preserve"> REF _Ref166311076 \h  \* MERGEFORMAT </w:instrText>
      </w:r>
      <w:r w:rsidR="00AC0007" w:rsidRPr="00A76C1A">
        <w:rPr>
          <w:bCs/>
        </w:rPr>
      </w:r>
      <w:r w:rsidR="00AC000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AC0007" w:rsidRPr="00A76C1A">
        <w:rPr>
          <w:bCs/>
        </w:rPr>
        <w:fldChar w:fldCharType="begin"/>
      </w:r>
      <w:r w:rsidRPr="00A76C1A">
        <w:rPr>
          <w:bCs/>
        </w:rPr>
        <w:instrText xml:space="preserve"> REF _Ref166311380 \h  \* MERGEFORMAT </w:instrText>
      </w:r>
      <w:r w:rsidR="00AC0007" w:rsidRPr="00A76C1A">
        <w:rPr>
          <w:bCs/>
        </w:rPr>
      </w:r>
      <w:r w:rsidR="00AC000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AC0007" w:rsidRPr="00A76C1A">
        <w:rPr>
          <w:bCs/>
        </w:rPr>
        <w:fldChar w:fldCharType="begin"/>
      </w:r>
      <w:r w:rsidRPr="00A76C1A">
        <w:rPr>
          <w:bCs/>
        </w:rPr>
        <w:instrText xml:space="preserve"> REF _Ref166312503 \h  \* MERGEFORMAT </w:instrText>
      </w:r>
      <w:r w:rsidR="00AC0007" w:rsidRPr="00A76C1A">
        <w:rPr>
          <w:bCs/>
        </w:rPr>
      </w:r>
      <w:r w:rsidR="00AC000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AC0007" w:rsidRPr="00A76C1A">
        <w:rPr>
          <w:bCs/>
        </w:rPr>
        <w:fldChar w:fldCharType="begin"/>
      </w:r>
      <w:r w:rsidRPr="00A76C1A">
        <w:rPr>
          <w:bCs/>
        </w:rPr>
        <w:instrText xml:space="preserve"> REF _Ref166267727 \h  \* MERGEFORMAT </w:instrText>
      </w:r>
      <w:r w:rsidR="00AC0007" w:rsidRPr="00A76C1A">
        <w:rPr>
          <w:bCs/>
        </w:rPr>
      </w:r>
      <w:r w:rsidR="00AC000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AC0007" w:rsidRPr="00856C74">
        <w:rPr>
          <w:bCs/>
        </w:rPr>
        <w:fldChar w:fldCharType="begin"/>
      </w:r>
      <w:r w:rsidRPr="00856C74">
        <w:rPr>
          <w:bCs/>
        </w:rPr>
        <w:instrText xml:space="preserve"> REF _Ref166315159 \h  \* MERGEFORMAT </w:instrText>
      </w:r>
      <w:r w:rsidR="00AC0007" w:rsidRPr="00856C74">
        <w:rPr>
          <w:bCs/>
        </w:rPr>
      </w:r>
      <w:r w:rsidR="00AC0007" w:rsidRPr="00856C74">
        <w:rPr>
          <w:bCs/>
        </w:rPr>
        <w:fldChar w:fldCharType="end"/>
      </w:r>
      <w:r w:rsidRPr="00856C74">
        <w:rPr>
          <w:bCs/>
        </w:rPr>
        <w:t xml:space="preserve"> и 9.17.</w:t>
      </w:r>
      <w:r w:rsidR="00AC0007" w:rsidRPr="00856C74">
        <w:rPr>
          <w:bCs/>
        </w:rPr>
        <w:fldChar w:fldCharType="begin"/>
      </w:r>
      <w:r w:rsidRPr="00856C74">
        <w:rPr>
          <w:bCs/>
        </w:rPr>
        <w:instrText xml:space="preserve"> REF _Ref166315233 \h  \* MERGEFORMAT </w:instrText>
      </w:r>
      <w:r w:rsidR="00AC0007" w:rsidRPr="00856C74">
        <w:rPr>
          <w:bCs/>
        </w:rPr>
      </w:r>
      <w:r w:rsidR="00AC0007"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AC0007" w:rsidRPr="00EC7F64">
        <w:rPr>
          <w:kern w:val="0"/>
          <w:lang w:eastAsia="ru-RU"/>
        </w:rPr>
        <w:fldChar w:fldCharType="begin"/>
      </w:r>
      <w:r w:rsidRPr="00EC7F64">
        <w:rPr>
          <w:kern w:val="0"/>
          <w:lang w:eastAsia="ru-RU"/>
        </w:rPr>
        <w:instrText xml:space="preserve"> REF _Ref166314817 \h  \* MERGEFORMAT </w:instrText>
      </w:r>
      <w:r w:rsidR="00AC0007" w:rsidRPr="00EC7F64">
        <w:rPr>
          <w:kern w:val="0"/>
          <w:lang w:eastAsia="ru-RU"/>
        </w:rPr>
      </w:r>
      <w:r w:rsidR="00AC0007"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B64537" w:rsidRPr="00A76C1A" w:rsidRDefault="00B64537" w:rsidP="001C026D">
            <w:pPr>
              <w:suppressAutoHyphens w:val="0"/>
              <w:autoSpaceDE w:val="0"/>
              <w:autoSpaceDN w:val="0"/>
              <w:adjustRightInd w:val="0"/>
              <w:spacing w:after="0"/>
              <w:rPr>
                <w:color w:val="000000"/>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ул.Гайдара, д.13</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ул.Глинки, д.5</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ул.Глинки, д.6</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д.141</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д.153, секция А</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д.184б</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д.4</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д.31</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д.43а</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д.152</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ул.Марата, д.57</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д.5</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д.6</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д.7</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д.24</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ул.Немцова, д.5, секция А</w:t>
                  </w:r>
                  <w:r>
                    <w:t>,</w:t>
                  </w:r>
                </w:p>
                <w:p w:rsidR="00C22CD9" w:rsidRPr="00A76C1A" w:rsidRDefault="00B64537" w:rsidP="00B64537">
                  <w:pPr>
                    <w:autoSpaceDE w:val="0"/>
                    <w:spacing w:after="0"/>
                    <w:jc w:val="center"/>
                  </w:pPr>
                  <w:r w:rsidRPr="00EF5DFA">
                    <w:t>г</w:t>
                  </w:r>
                  <w:proofErr w:type="gramStart"/>
                  <w:r w:rsidRPr="00EF5DFA">
                    <w:t>.Т</w:t>
                  </w:r>
                  <w:proofErr w:type="gramEnd"/>
                  <w:r w:rsidRPr="00EF5DFA">
                    <w:t>ула, ул.Немцова, д.6, секция А</w:t>
                  </w:r>
                  <w:r>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B64537" w:rsidP="00D551A5">
                  <w:pPr>
                    <w:pStyle w:val="29"/>
                    <w:spacing w:after="0" w:line="240" w:lineRule="auto"/>
                    <w:ind w:left="0"/>
                    <w:jc w:val="center"/>
                  </w:pPr>
                  <w:r>
                    <w:t>17</w:t>
                  </w:r>
                </w:p>
              </w:tc>
            </w:tr>
          </w:tbl>
          <w:p w:rsidR="00D551A5" w:rsidRDefault="00D551A5" w:rsidP="00A725DC">
            <w:pPr>
              <w:suppressAutoHyphens w:val="0"/>
              <w:autoSpaceDE w:val="0"/>
              <w:autoSpaceDN w:val="0"/>
              <w:adjustRightInd w:val="0"/>
              <w:spacing w:after="0"/>
              <w:rPr>
                <w:lang w:eastAsia="en-US"/>
              </w:rPr>
            </w:pPr>
          </w:p>
          <w:p w:rsidR="00D551A5" w:rsidRDefault="00F22DB3" w:rsidP="00C22CD9">
            <w:pPr>
              <w:suppressAutoHyphens w:val="0"/>
              <w:autoSpaceDE w:val="0"/>
              <w:autoSpaceDN w:val="0"/>
              <w:adjustRightInd w:val="0"/>
              <w:spacing w:after="0"/>
              <w:rPr>
                <w:lang w:eastAsia="en-US"/>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p w:rsidR="00B64537" w:rsidRPr="00A76C1A" w:rsidRDefault="00B64537" w:rsidP="00C22CD9">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ул.Гайдара, д.13</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ул.Глинки, д.5</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ул.Глинки, д.6</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д.141</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д.153, секция А</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д.184б</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д.4</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д.31</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д.43а</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д.152</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ул.Марата, д.57</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д.5</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д.6</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д.7</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д.24</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ул.Немцова, д.5, секция А</w:t>
            </w:r>
            <w:r>
              <w:t>,</w:t>
            </w:r>
          </w:p>
          <w:p w:rsidR="00C22CD9" w:rsidRPr="00A76C1A" w:rsidRDefault="00B64537" w:rsidP="00B64537">
            <w:pPr>
              <w:keepNext/>
              <w:keepLines/>
              <w:widowControl w:val="0"/>
              <w:suppressLineNumbers/>
              <w:spacing w:after="0"/>
              <w:jc w:val="center"/>
            </w:pPr>
            <w:r w:rsidRPr="00EF5DFA">
              <w:t>г</w:t>
            </w:r>
            <w:proofErr w:type="gramStart"/>
            <w:r w:rsidRPr="00EF5DFA">
              <w:t>.Т</w:t>
            </w:r>
            <w:proofErr w:type="gramEnd"/>
            <w:r w:rsidRPr="00EF5DFA">
              <w:t>ула, ул.Немцова, д.6, секция А</w:t>
            </w:r>
            <w: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B64537" w:rsidRPr="0066107A">
              <w:rPr>
                <w:color w:val="000000"/>
              </w:rPr>
              <w:t>41</w:t>
            </w:r>
            <w:r w:rsidR="00B64537">
              <w:rPr>
                <w:color w:val="000000"/>
              </w:rPr>
              <w:t> </w:t>
            </w:r>
            <w:r w:rsidR="00B64537" w:rsidRPr="0066107A">
              <w:rPr>
                <w:color w:val="000000"/>
              </w:rPr>
              <w:t>517</w:t>
            </w:r>
            <w:r w:rsidR="00B64537">
              <w:rPr>
                <w:color w:val="000000"/>
              </w:rPr>
              <w:t xml:space="preserve"> </w:t>
            </w:r>
            <w:r w:rsidR="00B64537" w:rsidRPr="0066107A">
              <w:rPr>
                <w:color w:val="000000"/>
              </w:rPr>
              <w:t>467,17</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lastRenderedPageBreak/>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137E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w:t>
                  </w:r>
                  <w:r w:rsidRPr="00A76C1A">
                    <w:rPr>
                      <w:rFonts w:eastAsia="Calibri"/>
                    </w:rPr>
                    <w:lastRenderedPageBreak/>
                    <w:t>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lastRenderedPageBreak/>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lastRenderedPageBreak/>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составляет </w:t>
            </w:r>
            <w:r w:rsidR="00B64537">
              <w:rPr>
                <w:color w:val="000000"/>
              </w:rPr>
              <w:t>415 174,67</w:t>
            </w:r>
            <w:r w:rsidRPr="00762F16">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B64537">
            <w:pPr>
              <w:spacing w:after="0"/>
            </w:pPr>
            <w:r w:rsidRPr="00A76C1A">
              <w:t xml:space="preserve">Реестровый номер </w:t>
            </w:r>
            <w:r w:rsidRPr="00DA243E">
              <w:t xml:space="preserve">торгов – </w:t>
            </w:r>
            <w:r w:rsidR="00DB3FDC">
              <w:t>2</w:t>
            </w:r>
            <w:r w:rsidR="00137E59">
              <w:t>5</w:t>
            </w:r>
            <w:r w:rsidR="00B64537">
              <w:t>8</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xml:space="preserve">% начальной (максимальной) цены договора и составляет </w:t>
            </w:r>
            <w:r w:rsidR="00B64537">
              <w:rPr>
                <w:lang w:eastAsia="ru-RU"/>
              </w:rPr>
              <w:t>4 982 096,06</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B64537">
              <w:rPr>
                <w:color w:val="000000"/>
              </w:rPr>
              <w:t>2 075 873,36</w:t>
            </w:r>
            <w:r w:rsidR="00B64537" w:rsidRPr="00762F16">
              <w:rPr>
                <w:color w:val="000000"/>
              </w:rPr>
              <w:t xml:space="preserve"> </w:t>
            </w:r>
            <w:r w:rsidRPr="00762F16">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lastRenderedPageBreak/>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137E59">
              <w:t>5</w:t>
            </w:r>
            <w:r w:rsidR="00B64537">
              <w:t>8</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9068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w:t>
                  </w:r>
                  <w:r w:rsidRPr="00E41EEF">
                    <w:lastRenderedPageBreak/>
                    <w:t>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B64537" w:rsidRDefault="00B64537" w:rsidP="00A90CFD">
            <w:pPr>
              <w:suppressAutoHyphens w:val="0"/>
              <w:autoSpaceDE w:val="0"/>
              <w:autoSpaceDN w:val="0"/>
              <w:adjustRightInd w:val="0"/>
              <w:spacing w:after="0"/>
              <w:rPr>
                <w:kern w:val="0"/>
                <w:lang w:eastAsia="ru-RU"/>
              </w:rPr>
            </w:pPr>
          </w:p>
          <w:p w:rsidR="00B64537" w:rsidRDefault="00B64537" w:rsidP="00A90CFD">
            <w:pPr>
              <w:suppressAutoHyphens w:val="0"/>
              <w:autoSpaceDE w:val="0"/>
              <w:autoSpaceDN w:val="0"/>
              <w:adjustRightInd w:val="0"/>
              <w:spacing w:after="0"/>
              <w:rPr>
                <w:kern w:val="0"/>
                <w:lang w:eastAsia="ru-RU"/>
              </w:rPr>
            </w:pPr>
          </w:p>
          <w:p w:rsidR="00B64537" w:rsidRDefault="00B64537" w:rsidP="00A90CFD">
            <w:pPr>
              <w:suppressAutoHyphens w:val="0"/>
              <w:autoSpaceDE w:val="0"/>
              <w:autoSpaceDN w:val="0"/>
              <w:adjustRightInd w:val="0"/>
              <w:spacing w:after="0"/>
              <w:rPr>
                <w:kern w:val="0"/>
                <w:lang w:eastAsia="ru-RU"/>
              </w:rPr>
            </w:pPr>
          </w:p>
          <w:p w:rsidR="00B64537" w:rsidRPr="00A76C1A" w:rsidRDefault="00B64537"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17261"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Default="00C22CD9" w:rsidP="00A90CFD">
            <w:pPr>
              <w:suppressAutoHyphens w:val="0"/>
              <w:spacing w:after="0"/>
              <w:rPr>
                <w:rFonts w:eastAsia="MS Mincho"/>
                <w:kern w:val="0"/>
                <w:lang w:eastAsia="ja-JP"/>
              </w:rPr>
            </w:pPr>
          </w:p>
          <w:p w:rsidR="00B64537" w:rsidRPr="00A76C1A" w:rsidRDefault="00B645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lastRenderedPageBreak/>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lastRenderedPageBreak/>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lastRenderedPageBreak/>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4"/>
        <w:gridCol w:w="3224"/>
        <w:gridCol w:w="2908"/>
        <w:gridCol w:w="2875"/>
      </w:tblGrid>
      <w:tr w:rsidR="00B64537" w:rsidRPr="00B64537" w:rsidTr="00B64537">
        <w:trPr>
          <w:trHeight w:val="81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 xml:space="preserve">№ </w:t>
            </w:r>
            <w:proofErr w:type="spellStart"/>
            <w:proofErr w:type="gramStart"/>
            <w:r w:rsidRPr="00B64537">
              <w:rPr>
                <w:b/>
                <w:bCs/>
                <w:color w:val="000000"/>
                <w:kern w:val="0"/>
                <w:lang w:eastAsia="ru-RU"/>
              </w:rPr>
              <w:t>п</w:t>
            </w:r>
            <w:proofErr w:type="spellEnd"/>
            <w:proofErr w:type="gramEnd"/>
            <w:r w:rsidRPr="00B64537">
              <w:rPr>
                <w:b/>
                <w:bCs/>
                <w:color w:val="000000"/>
                <w:kern w:val="0"/>
                <w:lang w:eastAsia="ru-RU"/>
              </w:rPr>
              <w:t>/</w:t>
            </w:r>
            <w:proofErr w:type="spellStart"/>
            <w:r w:rsidRPr="00B64537">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Стоимость, руб.</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ул.Гайдара, д.13</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842 116,44</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606 918,92</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132 040,00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1 581 075,36</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ул.Глинки, д.5</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1 167 250,44</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365 251,00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1 532 501,44</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ул.Глинки, д.6</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1 191 714,51</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425 805,00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1 617 519,51</w:t>
            </w:r>
          </w:p>
        </w:tc>
      </w:tr>
      <w:tr w:rsidR="00B64537" w:rsidRPr="00B64537" w:rsidTr="00B64537">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ул.Кирова, д.141</w:t>
            </w: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301 384,00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1 449 429,41</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1 119 376,34</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2 870 189,75</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5</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ул.Кирова, д.153, секция А</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1 091 708,81</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480 013,00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858 408,00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2 430 129,81</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ул.Кирова, д.184б</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1 264 888,02</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1 091 380,31</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424 175,00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2 780 443,33</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ул.Кутузова, д.4</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2 122 687,14</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1 421 942,48</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403 552,00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3 948 181,62</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ул.Кутузова, д.43а</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366 760,96</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569 246,03</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121 315,00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1 057 321,99</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ул.Кутузова, д.152</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423 328,98</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74 323,00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360 614,67</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858 266,65</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10</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ул.Кутузова, д.31</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912 775,45</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301 384,00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1 117 988,77</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2 332 148,22</w:t>
            </w:r>
          </w:p>
        </w:tc>
      </w:tr>
      <w:tr w:rsidR="00B64537" w:rsidRPr="00B64537" w:rsidTr="00B64537">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ул.Марата, д.57</w:t>
            </w: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229 772,00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743 853,90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1 027 344,83</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2 000 970,73</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ул.Металлургов, д.5</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1 298 790,43</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2 538 685,84</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447 025,00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4 284 501,27</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ул.Металлургов, д.6</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1 533 739,47</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2 765 901,19</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327 253,00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4 626 893,66</w:t>
            </w:r>
          </w:p>
        </w:tc>
      </w:tr>
      <w:tr w:rsidR="00B64537" w:rsidRPr="00B64537" w:rsidTr="00B64537">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14</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ул.Металлургов, д.7</w:t>
            </w: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298 508,00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1 229 758,85</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1 684 342,60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3 212 609,45</w:t>
            </w:r>
          </w:p>
        </w:tc>
      </w:tr>
      <w:tr w:rsidR="00B64537" w:rsidRPr="00B64537" w:rsidTr="00B64537">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lastRenderedPageBreak/>
              <w:t>15</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ул.Металлургов, д.24</w:t>
            </w: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1 695 151,54</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1 035 391,40</w:t>
            </w:r>
          </w:p>
        </w:tc>
      </w:tr>
      <w:tr w:rsidR="00B64537" w:rsidRPr="00B64537" w:rsidTr="00B64537">
        <w:trPr>
          <w:trHeight w:val="750"/>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229 938,00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2 960 480,94</w:t>
            </w:r>
          </w:p>
        </w:tc>
      </w:tr>
      <w:tr w:rsidR="00B64537" w:rsidRPr="00B64537" w:rsidTr="00B64537">
        <w:trPr>
          <w:trHeight w:val="7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16</w:t>
            </w:r>
          </w:p>
        </w:tc>
        <w:tc>
          <w:tcPr>
            <w:tcW w:w="1684"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ул.Немцова, д.5, секция А</w:t>
            </w: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365 251,00</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365 251,00</w:t>
            </w:r>
          </w:p>
        </w:tc>
      </w:tr>
      <w:tr w:rsidR="00B64537" w:rsidRPr="00B64537" w:rsidTr="00B64537">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17</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г</w:t>
            </w:r>
            <w:proofErr w:type="gramStart"/>
            <w:r w:rsidRPr="00B64537">
              <w:rPr>
                <w:color w:val="000000"/>
                <w:kern w:val="0"/>
                <w:lang w:eastAsia="ru-RU"/>
              </w:rPr>
              <w:t>.Т</w:t>
            </w:r>
            <w:proofErr w:type="gramEnd"/>
            <w:r w:rsidRPr="00B64537">
              <w:rPr>
                <w:color w:val="000000"/>
                <w:kern w:val="0"/>
                <w:lang w:eastAsia="ru-RU"/>
              </w:rPr>
              <w:t>ула, ул.Немцова, д.6, секция А</w:t>
            </w:r>
          </w:p>
        </w:tc>
        <w:tc>
          <w:tcPr>
            <w:tcW w:w="1519" w:type="pct"/>
            <w:tcBorders>
              <w:top w:val="nil"/>
              <w:left w:val="nil"/>
              <w:bottom w:val="single" w:sz="4" w:space="0" w:color="auto"/>
              <w:right w:val="single" w:sz="4" w:space="0" w:color="auto"/>
            </w:tcBorders>
            <w:shd w:val="clear" w:color="auto" w:fill="auto"/>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365 251,00</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1 613 027,26</w:t>
            </w:r>
          </w:p>
        </w:tc>
      </w:tr>
      <w:tr w:rsidR="00B64537" w:rsidRPr="00B64537" w:rsidTr="00B64537">
        <w:trPr>
          <w:trHeight w:val="375"/>
        </w:trPr>
        <w:tc>
          <w:tcPr>
            <w:tcW w:w="295" w:type="pct"/>
            <w:vMerge/>
            <w:tcBorders>
              <w:top w:val="nil"/>
              <w:left w:val="single" w:sz="4" w:space="0" w:color="auto"/>
              <w:bottom w:val="single" w:sz="4" w:space="0" w:color="auto"/>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B64537" w:rsidRPr="00B64537" w:rsidRDefault="00B64537" w:rsidP="00B64537">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color w:val="000000"/>
                <w:kern w:val="0"/>
                <w:lang w:eastAsia="ru-RU"/>
              </w:rPr>
            </w:pPr>
            <w:r w:rsidRPr="00B64537">
              <w:rPr>
                <w:color w:val="000000"/>
                <w:kern w:val="0"/>
                <w:lang w:eastAsia="ru-RU"/>
              </w:rPr>
              <w:t>1 080 704,18</w:t>
            </w:r>
          </w:p>
        </w:tc>
      </w:tr>
      <w:tr w:rsidR="00B64537" w:rsidRPr="00B64537" w:rsidTr="00B64537">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3 058 982,44</w:t>
            </w:r>
          </w:p>
        </w:tc>
      </w:tr>
      <w:tr w:rsidR="00B64537" w:rsidRPr="00B64537" w:rsidTr="00B64537">
        <w:trPr>
          <w:trHeight w:val="510"/>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val="en-US" w:eastAsia="ru-RU"/>
              </w:rPr>
            </w:pPr>
            <w:r w:rsidRPr="00B64537">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B64537" w:rsidRPr="00B64537" w:rsidRDefault="00B64537" w:rsidP="00B64537">
            <w:pPr>
              <w:suppressAutoHyphens w:val="0"/>
              <w:spacing w:after="0"/>
              <w:jc w:val="center"/>
              <w:rPr>
                <w:b/>
                <w:bCs/>
                <w:color w:val="000000"/>
                <w:kern w:val="0"/>
                <w:lang w:eastAsia="ru-RU"/>
              </w:rPr>
            </w:pPr>
            <w:r w:rsidRPr="00B64537">
              <w:rPr>
                <w:b/>
                <w:bCs/>
                <w:color w:val="000000"/>
                <w:kern w:val="0"/>
                <w:lang w:eastAsia="ru-RU"/>
              </w:rPr>
              <w:t>41 517 467,17</w:t>
            </w:r>
          </w:p>
        </w:tc>
      </w:tr>
    </w:tbl>
    <w:p w:rsidR="00137E59" w:rsidRDefault="00137E59" w:rsidP="00137E59">
      <w:pPr>
        <w:spacing w:after="120"/>
      </w:pPr>
    </w:p>
    <w:p w:rsidR="00B64537" w:rsidRDefault="00B64537" w:rsidP="00137E59">
      <w:pPr>
        <w:spacing w:after="120"/>
      </w:pPr>
    </w:p>
    <w:p w:rsidR="00B64537" w:rsidRDefault="00B64537" w:rsidP="00137E59">
      <w:pPr>
        <w:spacing w:after="120"/>
      </w:pPr>
    </w:p>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Pr="00A479C0" w:rsidRDefault="00A479C0" w:rsidP="00A479C0">
      <w:pPr>
        <w:pStyle w:val="1"/>
        <w:keepNext w:val="0"/>
        <w:tabs>
          <w:tab w:val="left" w:pos="3331"/>
        </w:tabs>
        <w:spacing w:before="0" w:after="120"/>
        <w:rPr>
          <w:rFonts w:ascii="Times New Roman" w:hAnsi="Times New Roman"/>
          <w:b w:val="0"/>
          <w:sz w:val="24"/>
          <w:szCs w:val="24"/>
        </w:rPr>
      </w:pPr>
      <w:r>
        <w:tab/>
      </w: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65942" w:rsidRDefault="00865942" w:rsidP="00865942">
      <w:pPr>
        <w:tabs>
          <w:tab w:val="left" w:pos="7238"/>
        </w:tabs>
        <w:spacing w:after="0"/>
        <w:jc w:val="left"/>
      </w:pPr>
      <w:r>
        <w:tab/>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ул.Гайдара, д.13</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ул.Глинки, д.5</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ул.Глинки, д.6</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д.141</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д.153, секция А</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ул.Кирова, д.184б</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д.4</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д.31</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д.43а</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ул.Кутузова, д.152</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ул.Марата, д.57</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д.5</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д.6</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д.7</w:t>
      </w:r>
      <w:r>
        <w:t>,</w:t>
      </w:r>
    </w:p>
    <w:p w:rsid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ул.Металлургов, д.24</w:t>
      </w:r>
      <w:r>
        <w:t>,</w:t>
      </w:r>
    </w:p>
    <w:p w:rsidR="00B64537" w:rsidRPr="00B64537" w:rsidRDefault="00B64537" w:rsidP="00B64537">
      <w:pPr>
        <w:tabs>
          <w:tab w:val="center" w:pos="4677"/>
        </w:tabs>
        <w:autoSpaceDE w:val="0"/>
        <w:spacing w:after="0"/>
        <w:jc w:val="center"/>
      </w:pPr>
      <w:r w:rsidRPr="00EF5DFA">
        <w:t>г</w:t>
      </w:r>
      <w:proofErr w:type="gramStart"/>
      <w:r w:rsidRPr="00EF5DFA">
        <w:t>.Т</w:t>
      </w:r>
      <w:proofErr w:type="gramEnd"/>
      <w:r w:rsidRPr="00EF5DFA">
        <w:t>ула, ул.Немцова, д.5, секция А</w:t>
      </w:r>
      <w:r>
        <w:t>,</w:t>
      </w:r>
    </w:p>
    <w:p w:rsidR="00255855" w:rsidRPr="00390681" w:rsidRDefault="00B64537" w:rsidP="00B64537">
      <w:pPr>
        <w:tabs>
          <w:tab w:val="center" w:pos="4677"/>
        </w:tabs>
        <w:autoSpaceDE w:val="0"/>
        <w:spacing w:after="0"/>
        <w:jc w:val="center"/>
      </w:pPr>
      <w:r w:rsidRPr="00EF5DFA">
        <w:t>г</w:t>
      </w:r>
      <w:proofErr w:type="gramStart"/>
      <w:r w:rsidRPr="00EF5DFA">
        <w:t>.Т</w:t>
      </w:r>
      <w:proofErr w:type="gramEnd"/>
      <w:r w:rsidRPr="00EF5DFA">
        <w:t>ула, ул.Немцова, д.6, секция А</w:t>
      </w:r>
      <w:r>
        <w:t>.</w:t>
      </w:r>
    </w:p>
    <w:p w:rsidR="00B64537" w:rsidRPr="00390681" w:rsidRDefault="00B64537" w:rsidP="00B64537">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B64537" w:rsidP="00FD59AF">
      <w:pPr>
        <w:ind w:firstLine="709"/>
        <w:jc w:val="center"/>
        <w:rPr>
          <w:color w:val="000000"/>
        </w:rPr>
      </w:pPr>
      <w:r w:rsidRPr="0066107A">
        <w:rPr>
          <w:color w:val="000000"/>
        </w:rPr>
        <w:t>41</w:t>
      </w:r>
      <w:r>
        <w:rPr>
          <w:color w:val="000000"/>
        </w:rPr>
        <w:t> </w:t>
      </w:r>
      <w:r w:rsidRPr="0066107A">
        <w:rPr>
          <w:color w:val="000000"/>
        </w:rPr>
        <w:t>517</w:t>
      </w:r>
      <w:r>
        <w:rPr>
          <w:color w:val="000000"/>
        </w:rPr>
        <w:t xml:space="preserve"> </w:t>
      </w:r>
      <w:r w:rsidRPr="0066107A">
        <w:rPr>
          <w:color w:val="000000"/>
        </w:rPr>
        <w:t>467,17</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E59" w:rsidRDefault="00137E59">
      <w:pPr>
        <w:spacing w:after="0"/>
      </w:pPr>
      <w:r>
        <w:separator/>
      </w:r>
    </w:p>
  </w:endnote>
  <w:endnote w:type="continuationSeparator" w:id="0">
    <w:p w:rsidR="00137E59" w:rsidRDefault="00137E5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Pr="00394EB9" w:rsidRDefault="00137E59"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E59" w:rsidRDefault="00137E59">
      <w:pPr>
        <w:spacing w:after="0"/>
      </w:pPr>
      <w:r>
        <w:separator/>
      </w:r>
    </w:p>
  </w:footnote>
  <w:footnote w:type="continuationSeparator" w:id="0">
    <w:p w:rsidR="00137E59" w:rsidRDefault="00137E5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AC0007" w:rsidP="001C026D">
    <w:pPr>
      <w:jc w:val="center"/>
    </w:pPr>
    <w:fldSimple w:instr="PAGE   \* MERGEFORMAT">
      <w:r w:rsidR="00390681">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AC0007" w:rsidP="001C026D">
    <w:pPr>
      <w:jc w:val="center"/>
    </w:pPr>
    <w:fldSimple w:instr="PAGE   \* MERGEFORMAT">
      <w:r w:rsidR="00390681">
        <w:rPr>
          <w:noProof/>
        </w:rPr>
        <w:t>54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59" w:rsidRDefault="00137E5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6935"/>
    <w:rsid w:val="003A03AA"/>
    <w:rsid w:val="003A1986"/>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B3DF8-BE26-4BBE-8190-E3F7E4068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20474</Words>
  <Characters>116702</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4</cp:revision>
  <cp:lastPrinted>2015-12-28T06:46:00Z</cp:lastPrinted>
  <dcterms:created xsi:type="dcterms:W3CDTF">2015-12-29T11:05:00Z</dcterms:created>
  <dcterms:modified xsi:type="dcterms:W3CDTF">2015-12-29T15:01:00Z</dcterms:modified>
</cp:coreProperties>
</file>