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3C" w:rsidRPr="00762F16" w:rsidRDefault="005A67AD" w:rsidP="009D287F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172901">
        <w:rPr>
          <w:rFonts w:ascii="Times New Roman" w:hAnsi="Times New Roman"/>
          <w:sz w:val="24"/>
          <w:szCs w:val="24"/>
        </w:rPr>
        <w:t>05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172901">
        <w:rPr>
          <w:rFonts w:ascii="Times New Roman" w:hAnsi="Times New Roman"/>
          <w:sz w:val="24"/>
          <w:szCs w:val="24"/>
        </w:rPr>
        <w:t>февраля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AC1B08">
        <w:rPr>
          <w:rFonts w:ascii="Times New Roman" w:hAnsi="Times New Roman"/>
          <w:sz w:val="24"/>
          <w:szCs w:val="24"/>
        </w:rPr>
        <w:t>6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AB7A1A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172901">
        <w:rPr>
          <w:rFonts w:ascii="Times New Roman" w:hAnsi="Times New Roman"/>
          <w:sz w:val="24"/>
          <w:szCs w:val="24"/>
        </w:rPr>
        <w:t>300</w:t>
      </w:r>
    </w:p>
    <w:p w:rsidR="00181F08" w:rsidRPr="00762F16" w:rsidRDefault="00181F0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3E3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1A0CC6" w:rsidRDefault="00655D1C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B44F1E" w:rsidRDefault="00B44F1E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1AC" w:rsidRPr="008131AC" w:rsidRDefault="008131AC" w:rsidP="008131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AC">
              <w:rPr>
                <w:rFonts w:ascii="Times New Roman" w:hAnsi="Times New Roman"/>
                <w:sz w:val="24"/>
                <w:szCs w:val="24"/>
              </w:rPr>
              <w:t>г. Тула, ул. Металлургов, д. 18</w:t>
            </w:r>
          </w:p>
          <w:p w:rsidR="008131AC" w:rsidRPr="008131AC" w:rsidRDefault="008131AC" w:rsidP="008131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AC">
              <w:rPr>
                <w:rFonts w:ascii="Times New Roman" w:hAnsi="Times New Roman"/>
                <w:sz w:val="24"/>
                <w:szCs w:val="24"/>
              </w:rPr>
              <w:t>г. Тула, ул. Металлургов, д. 20/6</w:t>
            </w:r>
          </w:p>
          <w:p w:rsidR="008131AC" w:rsidRPr="008131AC" w:rsidRDefault="008131AC" w:rsidP="008131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AC">
              <w:rPr>
                <w:rFonts w:ascii="Times New Roman" w:hAnsi="Times New Roman"/>
                <w:sz w:val="24"/>
                <w:szCs w:val="24"/>
              </w:rPr>
              <w:t>г. Тула, ул. Металлургов, д. 23/11</w:t>
            </w:r>
          </w:p>
          <w:p w:rsidR="001A0CC6" w:rsidRPr="00762F16" w:rsidRDefault="001A0CC6" w:rsidP="0081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A47A5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D47C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7C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февраля</w:t>
            </w:r>
            <w:r w:rsidR="00AC1B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D47C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7C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февраля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D47C2C" w:rsidP="00AC1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февраля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подъезд справа,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D47C2C" w:rsidP="00AC1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 февраля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 со двора, первый подъезд справа,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1A0CC6" w:rsidRDefault="008131AC" w:rsidP="00412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2 240 511,18</w:t>
            </w:r>
            <w:r w:rsidR="00AC1B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E405D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1704EE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1704EE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8131AC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2 240 511,18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8131AC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2 240 511,18</w:t>
                  </w:r>
                </w:p>
              </w:tc>
            </w:tr>
            <w:tr w:rsidR="000F4927" w:rsidRPr="00762F16" w:rsidTr="001704EE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C45371" w:rsidRDefault="003432EC" w:rsidP="00A47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05C9" w:rsidRPr="00A47A5C" w:rsidRDefault="001F0ED9" w:rsidP="0081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</w:t>
            </w:r>
            <w:r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обеспечения заявки 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1D4F1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(максимальной) цены договора и составляет </w:t>
            </w:r>
            <w:r w:rsidR="008131AC">
              <w:rPr>
                <w:rFonts w:ascii="Times New Roman" w:hAnsi="Times New Roman"/>
                <w:color w:val="000000"/>
                <w:sz w:val="24"/>
                <w:szCs w:val="24"/>
              </w:rPr>
              <w:t>112 025,56</w:t>
            </w:r>
            <w:r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B92A75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B92A7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300</w:t>
            </w:r>
            <w:r w:rsidR="00181F08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2B1873" w:rsidRPr="002B1873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C57E1F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8131AC" w:rsidRPr="008131AC" w:rsidRDefault="008131AC" w:rsidP="008131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AC">
              <w:rPr>
                <w:rFonts w:ascii="Times New Roman" w:hAnsi="Times New Roman"/>
                <w:sz w:val="24"/>
                <w:szCs w:val="24"/>
              </w:rPr>
              <w:t>г. Тула, ул. Металлургов, д. 18</w:t>
            </w:r>
          </w:p>
          <w:p w:rsidR="008131AC" w:rsidRPr="008131AC" w:rsidRDefault="008131AC" w:rsidP="008131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AC">
              <w:rPr>
                <w:rFonts w:ascii="Times New Roman" w:hAnsi="Times New Roman"/>
                <w:sz w:val="24"/>
                <w:szCs w:val="24"/>
              </w:rPr>
              <w:t>г. Тула, ул. Металлургов, д. 20/6</w:t>
            </w:r>
          </w:p>
          <w:p w:rsidR="008131AC" w:rsidRPr="008131AC" w:rsidRDefault="008131AC" w:rsidP="008131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AC">
              <w:rPr>
                <w:rFonts w:ascii="Times New Roman" w:hAnsi="Times New Roman"/>
                <w:sz w:val="24"/>
                <w:szCs w:val="24"/>
              </w:rPr>
              <w:t>г. Тула, ул. Металлургов, д. 23/11</w:t>
            </w:r>
          </w:p>
          <w:p w:rsidR="00E063C7" w:rsidRPr="00762F16" w:rsidRDefault="00E063C7" w:rsidP="000C67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FA0F09" w:rsidRPr="00C57E1F" w:rsidRDefault="003432EC" w:rsidP="00AB683B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C57E1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951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8131AC">
              <w:rPr>
                <w:rFonts w:ascii="Times New Roman" w:hAnsi="Times New Roman"/>
                <w:sz w:val="24"/>
                <w:szCs w:val="24"/>
                <w:lang w:eastAsia="ru-RU"/>
              </w:rPr>
              <w:t>336 076,68</w:t>
            </w:r>
            <w:r w:rsidR="00024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107A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8131AC">
              <w:rPr>
                <w:rFonts w:ascii="Times New Roman" w:hAnsi="Times New Roman"/>
                <w:color w:val="000000"/>
                <w:sz w:val="24"/>
                <w:szCs w:val="24"/>
              </w:rPr>
              <w:t>112 025,56</w:t>
            </w:r>
            <w:r w:rsidR="000E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7E1F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C45371" w:rsidRPr="009D287F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C45371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C45371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467781" w:rsidRPr="00762F16" w:rsidRDefault="00467781" w:rsidP="005D74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5D74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5D74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B92A7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300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  <w:bookmarkStart w:id="0" w:name="_GoBack"/>
            <w:bookmarkEnd w:id="0"/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A47A5C" w:rsidRPr="00762F16" w:rsidRDefault="00A47A5C" w:rsidP="002F583B">
      <w:pPr>
        <w:tabs>
          <w:tab w:val="left" w:pos="2265"/>
        </w:tabs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B033D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:rsidR="00FB033D" w:rsidRDefault="00FB033D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A97" w:rsidRDefault="00742A97" w:rsidP="003B408B">
      <w:pPr>
        <w:spacing w:after="0" w:line="240" w:lineRule="auto"/>
      </w:pPr>
      <w:r>
        <w:separator/>
      </w:r>
    </w:p>
  </w:endnote>
  <w:endnote w:type="continuationSeparator" w:id="0">
    <w:p w:rsidR="00742A97" w:rsidRDefault="00742A97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A97" w:rsidRDefault="00742A97" w:rsidP="003B408B">
      <w:pPr>
        <w:spacing w:after="0" w:line="240" w:lineRule="auto"/>
      </w:pPr>
      <w:r>
        <w:separator/>
      </w:r>
    </w:p>
  </w:footnote>
  <w:footnote w:type="continuationSeparator" w:id="0">
    <w:p w:rsidR="00742A97" w:rsidRDefault="00742A97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D4"/>
    <w:rsid w:val="00004F6A"/>
    <w:rsid w:val="00005462"/>
    <w:rsid w:val="0002051C"/>
    <w:rsid w:val="00024699"/>
    <w:rsid w:val="00037D8B"/>
    <w:rsid w:val="00045CDF"/>
    <w:rsid w:val="0004636F"/>
    <w:rsid w:val="00050C48"/>
    <w:rsid w:val="000539A5"/>
    <w:rsid w:val="00054906"/>
    <w:rsid w:val="00055DA2"/>
    <w:rsid w:val="000623B7"/>
    <w:rsid w:val="00062D0B"/>
    <w:rsid w:val="00065504"/>
    <w:rsid w:val="00072111"/>
    <w:rsid w:val="000951BE"/>
    <w:rsid w:val="000A6E2C"/>
    <w:rsid w:val="000B3FDB"/>
    <w:rsid w:val="000C1029"/>
    <w:rsid w:val="000C2CE4"/>
    <w:rsid w:val="000C36B6"/>
    <w:rsid w:val="000C67BD"/>
    <w:rsid w:val="000E6388"/>
    <w:rsid w:val="000F290C"/>
    <w:rsid w:val="000F310D"/>
    <w:rsid w:val="000F4927"/>
    <w:rsid w:val="000F7934"/>
    <w:rsid w:val="00105843"/>
    <w:rsid w:val="001122E6"/>
    <w:rsid w:val="00116B3C"/>
    <w:rsid w:val="0012188C"/>
    <w:rsid w:val="001264D8"/>
    <w:rsid w:val="001364DA"/>
    <w:rsid w:val="0014664C"/>
    <w:rsid w:val="00151E1D"/>
    <w:rsid w:val="00153EAE"/>
    <w:rsid w:val="00156606"/>
    <w:rsid w:val="001704EE"/>
    <w:rsid w:val="00170B90"/>
    <w:rsid w:val="001714DD"/>
    <w:rsid w:val="00172901"/>
    <w:rsid w:val="001739C4"/>
    <w:rsid w:val="00181F08"/>
    <w:rsid w:val="00193D8D"/>
    <w:rsid w:val="00196BDE"/>
    <w:rsid w:val="00197DBF"/>
    <w:rsid w:val="001A0CC6"/>
    <w:rsid w:val="001B1623"/>
    <w:rsid w:val="001D4F19"/>
    <w:rsid w:val="001D6181"/>
    <w:rsid w:val="001F0ED9"/>
    <w:rsid w:val="002016BF"/>
    <w:rsid w:val="002041FC"/>
    <w:rsid w:val="0020777C"/>
    <w:rsid w:val="0022652D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B1873"/>
    <w:rsid w:val="002D64CD"/>
    <w:rsid w:val="002E2B65"/>
    <w:rsid w:val="002E571C"/>
    <w:rsid w:val="002E6DB2"/>
    <w:rsid w:val="002E7FF9"/>
    <w:rsid w:val="002F583B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0DD9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3E330F"/>
    <w:rsid w:val="004066A1"/>
    <w:rsid w:val="00411A01"/>
    <w:rsid w:val="00412914"/>
    <w:rsid w:val="004144B1"/>
    <w:rsid w:val="00416A2C"/>
    <w:rsid w:val="00423392"/>
    <w:rsid w:val="00426BCE"/>
    <w:rsid w:val="004318B8"/>
    <w:rsid w:val="00436FE9"/>
    <w:rsid w:val="004470BF"/>
    <w:rsid w:val="00467781"/>
    <w:rsid w:val="00467EA7"/>
    <w:rsid w:val="00483FD9"/>
    <w:rsid w:val="004A3E25"/>
    <w:rsid w:val="004A45CA"/>
    <w:rsid w:val="004A513B"/>
    <w:rsid w:val="004B6F49"/>
    <w:rsid w:val="004B7FA5"/>
    <w:rsid w:val="004C04AA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02224"/>
    <w:rsid w:val="00552997"/>
    <w:rsid w:val="00562627"/>
    <w:rsid w:val="00567B03"/>
    <w:rsid w:val="005709C1"/>
    <w:rsid w:val="00570C20"/>
    <w:rsid w:val="005A080E"/>
    <w:rsid w:val="005A67AD"/>
    <w:rsid w:val="005C091A"/>
    <w:rsid w:val="005D7409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A6A4D"/>
    <w:rsid w:val="006B05C9"/>
    <w:rsid w:val="006B49E8"/>
    <w:rsid w:val="006C16CB"/>
    <w:rsid w:val="006D12E9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42A97"/>
    <w:rsid w:val="00762F16"/>
    <w:rsid w:val="0076793D"/>
    <w:rsid w:val="00772FA3"/>
    <w:rsid w:val="00773D1C"/>
    <w:rsid w:val="007A7C58"/>
    <w:rsid w:val="007B5AC1"/>
    <w:rsid w:val="007B5B07"/>
    <w:rsid w:val="007C03B1"/>
    <w:rsid w:val="007D21EC"/>
    <w:rsid w:val="007D5EFE"/>
    <w:rsid w:val="007E24F7"/>
    <w:rsid w:val="007F12EA"/>
    <w:rsid w:val="007F3B11"/>
    <w:rsid w:val="008131AC"/>
    <w:rsid w:val="00817349"/>
    <w:rsid w:val="00825FB0"/>
    <w:rsid w:val="008310DF"/>
    <w:rsid w:val="008403D7"/>
    <w:rsid w:val="00843ED9"/>
    <w:rsid w:val="0085122D"/>
    <w:rsid w:val="0085145E"/>
    <w:rsid w:val="00865355"/>
    <w:rsid w:val="00896B37"/>
    <w:rsid w:val="008978E8"/>
    <w:rsid w:val="008A09D4"/>
    <w:rsid w:val="008B5E3F"/>
    <w:rsid w:val="008C0D95"/>
    <w:rsid w:val="008C1ABF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C5FDE"/>
    <w:rsid w:val="009D287F"/>
    <w:rsid w:val="009D4857"/>
    <w:rsid w:val="009D7834"/>
    <w:rsid w:val="009E7F8B"/>
    <w:rsid w:val="00A02935"/>
    <w:rsid w:val="00A15525"/>
    <w:rsid w:val="00A43A57"/>
    <w:rsid w:val="00A47A5C"/>
    <w:rsid w:val="00A72FEF"/>
    <w:rsid w:val="00A7388C"/>
    <w:rsid w:val="00A767DF"/>
    <w:rsid w:val="00A95497"/>
    <w:rsid w:val="00AB46FB"/>
    <w:rsid w:val="00AB7A1A"/>
    <w:rsid w:val="00AC1B08"/>
    <w:rsid w:val="00AC41C7"/>
    <w:rsid w:val="00AD6DE3"/>
    <w:rsid w:val="00AF2EB6"/>
    <w:rsid w:val="00AF5353"/>
    <w:rsid w:val="00B119F9"/>
    <w:rsid w:val="00B35CCB"/>
    <w:rsid w:val="00B44F1E"/>
    <w:rsid w:val="00B50026"/>
    <w:rsid w:val="00B506F8"/>
    <w:rsid w:val="00B54FBF"/>
    <w:rsid w:val="00B6528C"/>
    <w:rsid w:val="00B7511B"/>
    <w:rsid w:val="00B87D9D"/>
    <w:rsid w:val="00B91439"/>
    <w:rsid w:val="00B9170C"/>
    <w:rsid w:val="00B92653"/>
    <w:rsid w:val="00B92A75"/>
    <w:rsid w:val="00B92FBA"/>
    <w:rsid w:val="00B950F1"/>
    <w:rsid w:val="00B966BE"/>
    <w:rsid w:val="00BA2313"/>
    <w:rsid w:val="00BA6B84"/>
    <w:rsid w:val="00BB51F5"/>
    <w:rsid w:val="00BB55D3"/>
    <w:rsid w:val="00BC1591"/>
    <w:rsid w:val="00BC3E2F"/>
    <w:rsid w:val="00BC7DD4"/>
    <w:rsid w:val="00BD1CC3"/>
    <w:rsid w:val="00BE2137"/>
    <w:rsid w:val="00BE6E68"/>
    <w:rsid w:val="00BF20C7"/>
    <w:rsid w:val="00BF67C3"/>
    <w:rsid w:val="00BF6B3C"/>
    <w:rsid w:val="00C1324B"/>
    <w:rsid w:val="00C40E0F"/>
    <w:rsid w:val="00C41B6D"/>
    <w:rsid w:val="00C45371"/>
    <w:rsid w:val="00C46249"/>
    <w:rsid w:val="00C46C5B"/>
    <w:rsid w:val="00C57E1F"/>
    <w:rsid w:val="00C638A8"/>
    <w:rsid w:val="00C65A96"/>
    <w:rsid w:val="00C670E1"/>
    <w:rsid w:val="00C8007E"/>
    <w:rsid w:val="00C83531"/>
    <w:rsid w:val="00C86E2B"/>
    <w:rsid w:val="00C90063"/>
    <w:rsid w:val="00C924A8"/>
    <w:rsid w:val="00CA75CA"/>
    <w:rsid w:val="00CB25F4"/>
    <w:rsid w:val="00CE403F"/>
    <w:rsid w:val="00CF13E4"/>
    <w:rsid w:val="00D01754"/>
    <w:rsid w:val="00D036BF"/>
    <w:rsid w:val="00D04C4B"/>
    <w:rsid w:val="00D12F4E"/>
    <w:rsid w:val="00D22546"/>
    <w:rsid w:val="00D3075D"/>
    <w:rsid w:val="00D30D3E"/>
    <w:rsid w:val="00D376C2"/>
    <w:rsid w:val="00D41DB6"/>
    <w:rsid w:val="00D47C2C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063C7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879F0"/>
    <w:rsid w:val="00E973B2"/>
    <w:rsid w:val="00EA2090"/>
    <w:rsid w:val="00EC0095"/>
    <w:rsid w:val="00EC1F01"/>
    <w:rsid w:val="00EC22D4"/>
    <w:rsid w:val="00ED3634"/>
    <w:rsid w:val="00ED5F8E"/>
    <w:rsid w:val="00EE582F"/>
    <w:rsid w:val="00EF5DFA"/>
    <w:rsid w:val="00F03B88"/>
    <w:rsid w:val="00F15899"/>
    <w:rsid w:val="00F21B5F"/>
    <w:rsid w:val="00F32FE3"/>
    <w:rsid w:val="00F40092"/>
    <w:rsid w:val="00F45AB2"/>
    <w:rsid w:val="00F61DB8"/>
    <w:rsid w:val="00FA0F09"/>
    <w:rsid w:val="00FB033D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F0E2-8813-4EEE-9CD2-D5DC6ACE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PDO_INNA</cp:lastModifiedBy>
  <cp:revision>45</cp:revision>
  <cp:lastPrinted>2015-09-03T08:14:00Z</cp:lastPrinted>
  <dcterms:created xsi:type="dcterms:W3CDTF">2015-12-31T15:56:00Z</dcterms:created>
  <dcterms:modified xsi:type="dcterms:W3CDTF">2016-02-05T08:41:00Z</dcterms:modified>
</cp:coreProperties>
</file>