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506F8" w:rsidRPr="00762F16">
        <w:rPr>
          <w:rFonts w:ascii="Times New Roman" w:hAnsi="Times New Roman"/>
          <w:sz w:val="24"/>
          <w:szCs w:val="24"/>
        </w:rPr>
        <w:t>2</w:t>
      </w:r>
      <w:r w:rsidR="00E732A5">
        <w:rPr>
          <w:rFonts w:ascii="Times New Roman" w:hAnsi="Times New Roman"/>
          <w:sz w:val="24"/>
          <w:szCs w:val="24"/>
        </w:rPr>
        <w:t>60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E732A5" w:rsidRDefault="00E732A5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DAC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ул.Бардина, д.10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ул.Гайдара, д.15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ул.Гайдара, д.16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ул.Доватора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д.9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д.138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д.140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д.144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д.146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д.148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ул.Макара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д.2, секция А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ул.Макара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д.9, секция А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ул.Макара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д.10/2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ул.Макара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д.18/9, секция Г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ул.Марата, д.172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ул.Немцова, д.17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ул.Шухова, д.20а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ул.Шухова, д.22а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ул.Шухова, д.24, корп.2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ул.Шухова, д.26а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32A5" w:rsidRPr="00567B03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ул.Щегловская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 засека, д.18</w:t>
            </w:r>
            <w:r w:rsidR="00567B03" w:rsidRPr="00567B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2A5" w:rsidRPr="00762F16" w:rsidRDefault="00E732A5" w:rsidP="00E732A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D47DAC" w:rsidRDefault="00D47DAC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D47DAC" w:rsidRDefault="00567B03" w:rsidP="00567B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B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24 026 396,84</w:t>
            </w:r>
            <w:r w:rsidR="00062D0B" w:rsidRPr="00D47D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D47DA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567B03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7B0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24 026 396,84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567B03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67B0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24 026 396,84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7DAC" w:rsidRDefault="00D47DAC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567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1F0ED9" w:rsidRPr="009D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6964B5" w:rsidRPr="009D78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9D78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567B03" w:rsidRPr="009D7834">
              <w:rPr>
                <w:rFonts w:ascii="Times New Roman" w:hAnsi="Times New Roman"/>
                <w:color w:val="000000"/>
                <w:sz w:val="24"/>
                <w:szCs w:val="24"/>
              </w:rPr>
              <w:t>240 263,97</w:t>
            </w:r>
            <w:r w:rsidR="001F0ED9" w:rsidRPr="009D78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9D783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67B03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60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ул.Бардина, д.10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ул.Гайдара, д.15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ул.Гайдара, д.16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ул.Доватора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д.9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д.138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д.140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д.144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д.146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ул.Кутузова, д.148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ул.Макара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д.2, секция А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ул.Макара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д.9, секция А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ул.Макара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д.10/2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ул.Макара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Мазая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>, д.18/9, секция Г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ул.Марата, д.172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ул.Немцова, д.17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ул.Шухова, д.20а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ул.Шухова, д.22а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ул.Шухова, д.24, корп.2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7B03" w:rsidRPr="00567B03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>ула, ул.Шухова, д.26а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32EC" w:rsidRPr="00762F16" w:rsidRDefault="00567B03" w:rsidP="00567B0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2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732A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ула, </w:t>
            </w:r>
            <w:proofErr w:type="spellStart"/>
            <w:r w:rsidRPr="00E732A5">
              <w:rPr>
                <w:rFonts w:ascii="Times New Roman" w:hAnsi="Times New Roman"/>
                <w:sz w:val="24"/>
                <w:szCs w:val="24"/>
              </w:rPr>
              <w:t>ул.Щегловская</w:t>
            </w:r>
            <w:proofErr w:type="spellEnd"/>
            <w:r w:rsidRPr="00E732A5">
              <w:rPr>
                <w:rFonts w:ascii="Times New Roman" w:hAnsi="Times New Roman"/>
                <w:sz w:val="24"/>
                <w:szCs w:val="24"/>
              </w:rPr>
              <w:t xml:space="preserve"> засека, д.18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567B03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567B03" w:rsidRPr="00567B03">
              <w:rPr>
                <w:rFonts w:ascii="Times New Roman" w:hAnsi="Times New Roman"/>
                <w:color w:val="000000"/>
                <w:sz w:val="24"/>
                <w:szCs w:val="24"/>
              </w:rPr>
              <w:t>2 883 167,62</w:t>
            </w:r>
            <w:r w:rsidR="0066107A" w:rsidRPr="00567B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567B03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B03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567B03" w:rsidRPr="00567B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1 201 319,84 </w:t>
            </w:r>
            <w:r w:rsidRPr="00567B03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lastRenderedPageBreak/>
              <w:t>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60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34" w:rsidRDefault="009D7834" w:rsidP="003B408B">
      <w:pPr>
        <w:spacing w:after="0" w:line="240" w:lineRule="auto"/>
      </w:pPr>
      <w:r>
        <w:separator/>
      </w:r>
    </w:p>
  </w:endnote>
  <w:endnote w:type="continuationSeparator" w:id="0">
    <w:p w:rsidR="009D7834" w:rsidRDefault="009D7834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34" w:rsidRDefault="009D7834" w:rsidP="003B408B">
      <w:pPr>
        <w:spacing w:after="0" w:line="240" w:lineRule="auto"/>
      </w:pPr>
      <w:r>
        <w:separator/>
      </w:r>
    </w:p>
  </w:footnote>
  <w:footnote w:type="continuationSeparator" w:id="0">
    <w:p w:rsidR="009D7834" w:rsidRDefault="009D7834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D7834"/>
    <w:rsid w:val="009E7F8B"/>
    <w:rsid w:val="00A02935"/>
    <w:rsid w:val="00A15525"/>
    <w:rsid w:val="00A72FEF"/>
    <w:rsid w:val="00A767DF"/>
    <w:rsid w:val="00A95497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7C3"/>
    <w:rsid w:val="00BF6B3C"/>
    <w:rsid w:val="00C1324B"/>
    <w:rsid w:val="00C40E0F"/>
    <w:rsid w:val="00C41B6D"/>
    <w:rsid w:val="00C46249"/>
    <w:rsid w:val="00C46C5B"/>
    <w:rsid w:val="00C638A8"/>
    <w:rsid w:val="00C65A96"/>
    <w:rsid w:val="00C670E1"/>
    <w:rsid w:val="00C8007E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B4BC-A76A-41B3-91C2-E2473CFD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U1</cp:lastModifiedBy>
  <cp:revision>3</cp:revision>
  <cp:lastPrinted>2015-09-03T08:14:00Z</cp:lastPrinted>
  <dcterms:created xsi:type="dcterms:W3CDTF">2015-12-30T06:32:00Z</dcterms:created>
  <dcterms:modified xsi:type="dcterms:W3CDTF">2015-12-30T06:40:00Z</dcterms:modified>
</cp:coreProperties>
</file>